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4647" w14:textId="77777777" w:rsidR="004E2BC0" w:rsidRDefault="00C46B8E">
      <w:pPr>
        <w:rPr>
          <w:b/>
          <w:sz w:val="24"/>
          <w:szCs w:val="24"/>
          <w:u w:val="single"/>
        </w:rPr>
      </w:pPr>
      <w:bookmarkStart w:id="0" w:name="_GoBack"/>
      <w:bookmarkEnd w:id="0"/>
      <w:r w:rsidRPr="008A773E">
        <w:rPr>
          <w:b/>
          <w:sz w:val="24"/>
          <w:szCs w:val="24"/>
          <w:u w:val="single"/>
        </w:rPr>
        <w:t xml:space="preserve"> </w:t>
      </w:r>
    </w:p>
    <w:p w14:paraId="2CDEAAB3" w14:textId="10FD3F83" w:rsidR="00DD5633" w:rsidRDefault="004E2BC0" w:rsidP="00E15E64">
      <w:pPr>
        <w:jc w:val="center"/>
        <w:rPr>
          <w:b/>
          <w:sz w:val="24"/>
          <w:szCs w:val="24"/>
          <w:u w:val="single"/>
        </w:rPr>
      </w:pPr>
      <w:r>
        <w:rPr>
          <w:b/>
          <w:sz w:val="24"/>
          <w:szCs w:val="24"/>
          <w:u w:val="single"/>
        </w:rPr>
        <w:t xml:space="preserve">COVID-19: Provider </w:t>
      </w:r>
      <w:r w:rsidR="00C41905">
        <w:rPr>
          <w:b/>
          <w:sz w:val="24"/>
          <w:szCs w:val="24"/>
          <w:u w:val="single"/>
        </w:rPr>
        <w:t>Flexibilities</w:t>
      </w:r>
    </w:p>
    <w:p w14:paraId="6F8F47E4" w14:textId="77777777" w:rsidR="00DD5633" w:rsidRDefault="00DD5633" w:rsidP="00671500">
      <w:pPr>
        <w:jc w:val="both"/>
        <w:rPr>
          <w:b/>
          <w:sz w:val="24"/>
          <w:szCs w:val="24"/>
          <w:u w:val="single"/>
        </w:rPr>
      </w:pPr>
      <w:r>
        <w:rPr>
          <w:b/>
          <w:sz w:val="24"/>
          <w:szCs w:val="24"/>
          <w:u w:val="single"/>
        </w:rPr>
        <w:t>Background:</w:t>
      </w:r>
    </w:p>
    <w:p w14:paraId="41E48448" w14:textId="77777777" w:rsidR="001277F3" w:rsidRPr="00AE6036" w:rsidRDefault="001277F3" w:rsidP="00671500">
      <w:pPr>
        <w:jc w:val="both"/>
        <w:rPr>
          <w:rFonts w:ascii="Arial" w:hAnsi="Arial" w:cs="Arial"/>
        </w:rPr>
      </w:pPr>
      <w:r>
        <w:rPr>
          <w:rFonts w:ascii="Arial" w:hAnsi="Arial" w:cs="Arial"/>
        </w:rPr>
        <w:t>Through the COVID-19 pandemic, t</w:t>
      </w:r>
      <w:r w:rsidRPr="00AE6036">
        <w:rPr>
          <w:rFonts w:ascii="Arial" w:hAnsi="Arial" w:cs="Arial"/>
        </w:rPr>
        <w:t>he WMCA recognises that there are emerging needs to support residents to upskill/reskill to find alternative employment following redundancy or respond to new ways of working (e.g. homeworking), and for residents to maintain their own personalised health and well-being through self-isolation and social distancing.</w:t>
      </w:r>
    </w:p>
    <w:p w14:paraId="6484502B" w14:textId="77777777" w:rsidR="001277F3" w:rsidRPr="00AE6036" w:rsidRDefault="001277F3" w:rsidP="00671500">
      <w:pPr>
        <w:jc w:val="both"/>
        <w:rPr>
          <w:rFonts w:ascii="Arial" w:hAnsi="Arial" w:cs="Arial"/>
        </w:rPr>
      </w:pPr>
      <w:r w:rsidRPr="00AE6036">
        <w:rPr>
          <w:rFonts w:ascii="Arial" w:hAnsi="Arial" w:cs="Arial"/>
        </w:rPr>
        <w:t xml:space="preserve">We propose to respond to the challenges of the pandemic through developing a COVID-19 Response covering two core themed activities </w:t>
      </w:r>
      <w:r w:rsidRPr="00AE6036">
        <w:rPr>
          <w:rFonts w:ascii="Arial" w:hAnsi="Arial" w:cs="Arial"/>
          <w:b/>
          <w:bCs/>
        </w:rPr>
        <w:t>Education for Health &amp; Well Being</w:t>
      </w:r>
      <w:r w:rsidRPr="00AE6036">
        <w:rPr>
          <w:rFonts w:ascii="Arial" w:hAnsi="Arial" w:cs="Arial"/>
        </w:rPr>
        <w:t xml:space="preserve"> and </w:t>
      </w:r>
      <w:r w:rsidRPr="00AE6036">
        <w:rPr>
          <w:rFonts w:ascii="Arial" w:hAnsi="Arial" w:cs="Arial"/>
          <w:b/>
          <w:bCs/>
        </w:rPr>
        <w:t>Education for Work</w:t>
      </w:r>
      <w:r w:rsidRPr="00AE6036">
        <w:rPr>
          <w:rFonts w:ascii="Arial" w:hAnsi="Arial" w:cs="Arial"/>
        </w:rPr>
        <w:t>.</w:t>
      </w:r>
    </w:p>
    <w:p w14:paraId="19BF8956" w14:textId="77777777" w:rsidR="001277F3" w:rsidRPr="00AE6036" w:rsidRDefault="001277F3" w:rsidP="00671500">
      <w:pPr>
        <w:jc w:val="both"/>
        <w:rPr>
          <w:rFonts w:ascii="Arial" w:hAnsi="Arial" w:cs="Arial"/>
        </w:rPr>
      </w:pPr>
      <w:r w:rsidRPr="00AE6036">
        <w:rPr>
          <w:rFonts w:ascii="Arial" w:hAnsi="Arial" w:cs="Arial"/>
          <w:b/>
          <w:bCs/>
        </w:rPr>
        <w:t>Education for Health &amp; Well Being</w:t>
      </w:r>
      <w:r w:rsidRPr="00AE6036">
        <w:rPr>
          <w:rFonts w:ascii="Arial" w:hAnsi="Arial" w:cs="Arial"/>
        </w:rPr>
        <w:t xml:space="preserve"> focuses purely on personalised health and well-being activity to support residents in the challenges that social-isolation and social distancing can create. Given the community nature of this provision the WMCA will work with its college’s and local authorities in developing this offer. This offer will be funded as part of their current grant allocation.</w:t>
      </w:r>
    </w:p>
    <w:p w14:paraId="15483EA4" w14:textId="77777777" w:rsidR="001277F3" w:rsidRPr="00AE6036" w:rsidRDefault="001277F3" w:rsidP="00671500">
      <w:pPr>
        <w:jc w:val="both"/>
        <w:rPr>
          <w:rFonts w:ascii="Arial" w:hAnsi="Arial" w:cs="Arial"/>
        </w:rPr>
      </w:pPr>
      <w:r w:rsidRPr="00AE6036">
        <w:rPr>
          <w:rFonts w:ascii="Arial" w:hAnsi="Arial" w:cs="Arial"/>
          <w:b/>
          <w:bCs/>
        </w:rPr>
        <w:t>Education for Work</w:t>
      </w:r>
      <w:r w:rsidRPr="00AE6036">
        <w:rPr>
          <w:rFonts w:ascii="Arial" w:hAnsi="Arial" w:cs="Arial"/>
        </w:rPr>
        <w:t xml:space="preserve"> will provide opportunities for individuals to upskill/re-skill who are unemployed currently or just lost their job as a result of the pandemic and will also provide opportunities for those in work to adapt to new ways of working through upskilling e.g. digital, team leading.  This offer will be made available through ITP, colleges and local authorities. This delivery will form part of current contract allocations. </w:t>
      </w:r>
    </w:p>
    <w:p w14:paraId="61C1DE2E" w14:textId="342CC257" w:rsidR="001277F3" w:rsidRPr="00AE6036" w:rsidRDefault="001277F3" w:rsidP="00671500">
      <w:pPr>
        <w:jc w:val="both"/>
        <w:rPr>
          <w:rFonts w:ascii="Arial" w:hAnsi="Arial" w:cs="Arial"/>
        </w:rPr>
      </w:pPr>
      <w:r w:rsidRPr="00AE6036">
        <w:rPr>
          <w:rFonts w:ascii="Arial" w:hAnsi="Arial" w:cs="Arial"/>
        </w:rPr>
        <w:t>The table below illustrates the types of offer that we’re likely to see to respond to COVID-19:</w:t>
      </w:r>
    </w:p>
    <w:tbl>
      <w:tblPr>
        <w:tblStyle w:val="TableGrid"/>
        <w:tblW w:w="0" w:type="auto"/>
        <w:tblLook w:val="04A0" w:firstRow="1" w:lastRow="0" w:firstColumn="1" w:lastColumn="0" w:noHBand="0" w:noVBand="1"/>
      </w:tblPr>
      <w:tblGrid>
        <w:gridCol w:w="4505"/>
        <w:gridCol w:w="4505"/>
      </w:tblGrid>
      <w:tr w:rsidR="001277F3" w:rsidRPr="00AE6036" w14:paraId="0355641E" w14:textId="77777777" w:rsidTr="008041F5">
        <w:tc>
          <w:tcPr>
            <w:tcW w:w="4505" w:type="dxa"/>
            <w:shd w:val="clear" w:color="auto" w:fill="F7CAAC" w:themeFill="accent2" w:themeFillTint="66"/>
          </w:tcPr>
          <w:p w14:paraId="65758464" w14:textId="77777777" w:rsidR="001277F3" w:rsidRPr="00AE6036" w:rsidRDefault="001277F3" w:rsidP="00671500">
            <w:pPr>
              <w:jc w:val="both"/>
              <w:rPr>
                <w:rFonts w:ascii="Arial" w:hAnsi="Arial" w:cs="Arial"/>
                <w:b/>
                <w:bCs/>
              </w:rPr>
            </w:pPr>
            <w:r w:rsidRPr="00AE6036">
              <w:rPr>
                <w:rFonts w:ascii="Arial" w:hAnsi="Arial" w:cs="Arial"/>
                <w:b/>
                <w:bCs/>
              </w:rPr>
              <w:t>Theme</w:t>
            </w:r>
          </w:p>
        </w:tc>
        <w:tc>
          <w:tcPr>
            <w:tcW w:w="4505" w:type="dxa"/>
            <w:shd w:val="clear" w:color="auto" w:fill="F7CAAC" w:themeFill="accent2" w:themeFillTint="66"/>
          </w:tcPr>
          <w:p w14:paraId="6864EFEE" w14:textId="77777777" w:rsidR="001277F3" w:rsidRPr="00AE6036" w:rsidRDefault="001277F3" w:rsidP="00671500">
            <w:pPr>
              <w:jc w:val="both"/>
              <w:rPr>
                <w:rFonts w:ascii="Arial" w:hAnsi="Arial" w:cs="Arial"/>
                <w:b/>
                <w:bCs/>
              </w:rPr>
            </w:pPr>
            <w:r w:rsidRPr="00AE6036">
              <w:rPr>
                <w:rFonts w:ascii="Arial" w:hAnsi="Arial" w:cs="Arial"/>
                <w:b/>
                <w:bCs/>
              </w:rPr>
              <w:t>Examples of provision to be offered</w:t>
            </w:r>
          </w:p>
        </w:tc>
      </w:tr>
      <w:tr w:rsidR="001277F3" w:rsidRPr="00AE6036" w14:paraId="3424E377" w14:textId="77777777" w:rsidTr="008041F5">
        <w:tc>
          <w:tcPr>
            <w:tcW w:w="4505" w:type="dxa"/>
          </w:tcPr>
          <w:p w14:paraId="7DEE8087" w14:textId="77777777" w:rsidR="001277F3" w:rsidRPr="00AE6036" w:rsidRDefault="001277F3" w:rsidP="00671500">
            <w:pPr>
              <w:jc w:val="both"/>
              <w:rPr>
                <w:rFonts w:ascii="Arial" w:hAnsi="Arial" w:cs="Arial"/>
              </w:rPr>
            </w:pPr>
            <w:r w:rsidRPr="00AE6036">
              <w:rPr>
                <w:rFonts w:ascii="Arial" w:hAnsi="Arial" w:cs="Arial"/>
              </w:rPr>
              <w:t>Education for Health &amp; Well Being (all eligible residents)</w:t>
            </w:r>
          </w:p>
          <w:p w14:paraId="41C5ACA3" w14:textId="77777777" w:rsidR="001277F3" w:rsidRPr="00AE6036" w:rsidRDefault="001277F3" w:rsidP="00671500">
            <w:pPr>
              <w:jc w:val="both"/>
              <w:rPr>
                <w:rFonts w:ascii="Arial" w:hAnsi="Arial" w:cs="Arial"/>
              </w:rPr>
            </w:pPr>
          </w:p>
          <w:p w14:paraId="577CC1DB" w14:textId="77777777" w:rsidR="001277F3" w:rsidRPr="00AE6036" w:rsidRDefault="001277F3" w:rsidP="00671500">
            <w:pPr>
              <w:jc w:val="both"/>
              <w:rPr>
                <w:rFonts w:ascii="Arial" w:hAnsi="Arial" w:cs="Arial"/>
              </w:rPr>
            </w:pPr>
          </w:p>
          <w:p w14:paraId="6825C3D3" w14:textId="77777777" w:rsidR="001277F3" w:rsidRPr="00AE6036" w:rsidRDefault="001277F3" w:rsidP="00671500">
            <w:pPr>
              <w:jc w:val="both"/>
              <w:rPr>
                <w:rFonts w:ascii="Arial" w:hAnsi="Arial" w:cs="Arial"/>
              </w:rPr>
            </w:pPr>
          </w:p>
          <w:p w14:paraId="0BD66A9E" w14:textId="77777777" w:rsidR="001277F3" w:rsidRPr="00AE6036" w:rsidRDefault="001277F3" w:rsidP="00671500">
            <w:pPr>
              <w:jc w:val="both"/>
              <w:rPr>
                <w:rFonts w:ascii="Arial" w:hAnsi="Arial" w:cs="Arial"/>
              </w:rPr>
            </w:pPr>
            <w:r w:rsidRPr="00AE6036">
              <w:rPr>
                <w:rFonts w:ascii="Arial" w:hAnsi="Arial" w:cs="Arial"/>
              </w:rPr>
              <w:t>Delivered by Colleges &amp; Local Authorities</w:t>
            </w:r>
          </w:p>
        </w:tc>
        <w:tc>
          <w:tcPr>
            <w:tcW w:w="4505" w:type="dxa"/>
          </w:tcPr>
          <w:p w14:paraId="3BC4F7A1"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 xml:space="preserve">Understanding nutrition and health </w:t>
            </w:r>
          </w:p>
          <w:p w14:paraId="0E5CB93A"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Improving health through exercise</w:t>
            </w:r>
          </w:p>
          <w:p w14:paraId="163AA277"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Awareness of mental health</w:t>
            </w:r>
          </w:p>
          <w:p w14:paraId="62777224"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 xml:space="preserve">Digital inclusion </w:t>
            </w:r>
          </w:p>
          <w:p w14:paraId="1B62B0CA"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 xml:space="preserve">Well-being: Stress and Stress Management </w:t>
            </w:r>
          </w:p>
        </w:tc>
      </w:tr>
      <w:tr w:rsidR="001277F3" w:rsidRPr="00AE6036" w14:paraId="04BE098D" w14:textId="77777777" w:rsidTr="008041F5">
        <w:tc>
          <w:tcPr>
            <w:tcW w:w="4505" w:type="dxa"/>
          </w:tcPr>
          <w:p w14:paraId="06371AE9" w14:textId="77777777" w:rsidR="001277F3" w:rsidRPr="00AE6036" w:rsidRDefault="001277F3" w:rsidP="00671500">
            <w:pPr>
              <w:jc w:val="both"/>
              <w:rPr>
                <w:rFonts w:ascii="Arial" w:hAnsi="Arial" w:cs="Arial"/>
              </w:rPr>
            </w:pPr>
            <w:r w:rsidRPr="00AE6036">
              <w:rPr>
                <w:rFonts w:ascii="Arial" w:hAnsi="Arial" w:cs="Arial"/>
              </w:rPr>
              <w:t>Education for Work (employed &amp; unemployed)</w:t>
            </w:r>
          </w:p>
          <w:p w14:paraId="0B10057C" w14:textId="77777777" w:rsidR="001277F3" w:rsidRPr="00AE6036" w:rsidRDefault="001277F3" w:rsidP="00671500">
            <w:pPr>
              <w:jc w:val="both"/>
              <w:rPr>
                <w:rFonts w:ascii="Arial" w:hAnsi="Arial" w:cs="Arial"/>
              </w:rPr>
            </w:pPr>
          </w:p>
          <w:p w14:paraId="00AF194D" w14:textId="77777777" w:rsidR="001277F3" w:rsidRPr="00AE6036" w:rsidRDefault="001277F3" w:rsidP="00671500">
            <w:pPr>
              <w:jc w:val="both"/>
              <w:rPr>
                <w:rFonts w:ascii="Arial" w:hAnsi="Arial" w:cs="Arial"/>
              </w:rPr>
            </w:pPr>
          </w:p>
          <w:p w14:paraId="586A5BBD" w14:textId="77777777" w:rsidR="001277F3" w:rsidRPr="00AE6036" w:rsidRDefault="001277F3" w:rsidP="00671500">
            <w:pPr>
              <w:jc w:val="both"/>
              <w:rPr>
                <w:rFonts w:ascii="Arial" w:hAnsi="Arial" w:cs="Arial"/>
              </w:rPr>
            </w:pPr>
          </w:p>
          <w:p w14:paraId="034E476B" w14:textId="77777777" w:rsidR="001277F3" w:rsidRPr="00AE6036" w:rsidRDefault="001277F3" w:rsidP="00671500">
            <w:pPr>
              <w:jc w:val="both"/>
              <w:rPr>
                <w:rFonts w:ascii="Arial" w:hAnsi="Arial" w:cs="Arial"/>
              </w:rPr>
            </w:pPr>
          </w:p>
          <w:p w14:paraId="6D168612" w14:textId="77777777" w:rsidR="001277F3" w:rsidRPr="00AE6036" w:rsidRDefault="001277F3" w:rsidP="00671500">
            <w:pPr>
              <w:jc w:val="both"/>
              <w:rPr>
                <w:rFonts w:ascii="Arial" w:hAnsi="Arial" w:cs="Arial"/>
              </w:rPr>
            </w:pPr>
          </w:p>
          <w:p w14:paraId="14225535" w14:textId="77777777" w:rsidR="001277F3" w:rsidRPr="00AE6036" w:rsidRDefault="001277F3" w:rsidP="00671500">
            <w:pPr>
              <w:jc w:val="both"/>
              <w:rPr>
                <w:rFonts w:ascii="Arial" w:hAnsi="Arial" w:cs="Arial"/>
              </w:rPr>
            </w:pPr>
          </w:p>
          <w:p w14:paraId="042B959E" w14:textId="77777777" w:rsidR="001277F3" w:rsidRPr="00AE6036" w:rsidRDefault="001277F3" w:rsidP="00671500">
            <w:pPr>
              <w:jc w:val="both"/>
              <w:rPr>
                <w:rFonts w:ascii="Arial" w:hAnsi="Arial" w:cs="Arial"/>
              </w:rPr>
            </w:pPr>
          </w:p>
          <w:p w14:paraId="17178D31" w14:textId="77777777" w:rsidR="001277F3" w:rsidRPr="00AE6036" w:rsidRDefault="001277F3" w:rsidP="00671500">
            <w:pPr>
              <w:jc w:val="both"/>
              <w:rPr>
                <w:rFonts w:ascii="Arial" w:hAnsi="Arial" w:cs="Arial"/>
              </w:rPr>
            </w:pPr>
          </w:p>
          <w:p w14:paraId="7D904C84" w14:textId="77777777" w:rsidR="001277F3" w:rsidRPr="00AE6036" w:rsidRDefault="001277F3" w:rsidP="00671500">
            <w:pPr>
              <w:jc w:val="both"/>
              <w:rPr>
                <w:rFonts w:ascii="Arial" w:hAnsi="Arial" w:cs="Arial"/>
              </w:rPr>
            </w:pPr>
          </w:p>
          <w:p w14:paraId="23D45B3E" w14:textId="77777777" w:rsidR="001277F3" w:rsidRPr="00AE6036" w:rsidRDefault="001277F3" w:rsidP="00671500">
            <w:pPr>
              <w:jc w:val="both"/>
              <w:rPr>
                <w:rFonts w:ascii="Arial" w:hAnsi="Arial" w:cs="Arial"/>
              </w:rPr>
            </w:pPr>
            <w:r w:rsidRPr="00AE6036">
              <w:rPr>
                <w:rFonts w:ascii="Arial" w:hAnsi="Arial" w:cs="Arial"/>
              </w:rPr>
              <w:t>Delivered by ITPs, Colleges &amp; Local Authorities</w:t>
            </w:r>
          </w:p>
        </w:tc>
        <w:tc>
          <w:tcPr>
            <w:tcW w:w="4505" w:type="dxa"/>
          </w:tcPr>
          <w:p w14:paraId="24BD1398"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 xml:space="preserve">Employability support including CV writing, IAG </w:t>
            </w:r>
          </w:p>
          <w:p w14:paraId="04A57F4C"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 xml:space="preserve">Job matching </w:t>
            </w:r>
          </w:p>
          <w:p w14:paraId="5C112840"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 xml:space="preserve">Maths and English </w:t>
            </w:r>
          </w:p>
          <w:p w14:paraId="19420E72"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Retail</w:t>
            </w:r>
          </w:p>
          <w:p w14:paraId="1630F42C"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Security</w:t>
            </w:r>
          </w:p>
          <w:p w14:paraId="6F13FDC5"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Digital skills for home working e.g. 365 essentials</w:t>
            </w:r>
          </w:p>
          <w:p w14:paraId="6CFB5AD6"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 xml:space="preserve">Team leading </w:t>
            </w:r>
          </w:p>
          <w:p w14:paraId="01D8AFB8"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 xml:space="preserve">Counselling skills </w:t>
            </w:r>
          </w:p>
          <w:p w14:paraId="70D9CF93" w14:textId="77777777" w:rsidR="001277F3" w:rsidRPr="00AE6036" w:rsidRDefault="001277F3" w:rsidP="00671500">
            <w:pPr>
              <w:pStyle w:val="ListParagraph"/>
              <w:numPr>
                <w:ilvl w:val="0"/>
                <w:numId w:val="35"/>
              </w:numPr>
              <w:jc w:val="both"/>
              <w:rPr>
                <w:rFonts w:ascii="Arial" w:hAnsi="Arial" w:cs="Arial"/>
              </w:rPr>
            </w:pPr>
            <w:r w:rsidRPr="00AE6036">
              <w:rPr>
                <w:rFonts w:ascii="Arial" w:hAnsi="Arial" w:cs="Arial"/>
              </w:rPr>
              <w:t>Understanding technology enabled care</w:t>
            </w:r>
          </w:p>
          <w:p w14:paraId="6EFD4146" w14:textId="16B107DC" w:rsidR="001277F3" w:rsidRPr="00AE6036" w:rsidRDefault="004E6DEA" w:rsidP="00671500">
            <w:pPr>
              <w:pStyle w:val="ListParagraph"/>
              <w:numPr>
                <w:ilvl w:val="0"/>
                <w:numId w:val="35"/>
              </w:numPr>
              <w:jc w:val="both"/>
              <w:rPr>
                <w:rFonts w:ascii="Arial" w:hAnsi="Arial" w:cs="Arial"/>
              </w:rPr>
            </w:pPr>
            <w:r>
              <w:rPr>
                <w:rFonts w:ascii="Arial" w:hAnsi="Arial" w:cs="Arial"/>
              </w:rPr>
              <w:t>Health and c</w:t>
            </w:r>
            <w:r w:rsidR="001277F3" w:rsidRPr="00AE6036">
              <w:rPr>
                <w:rFonts w:ascii="Arial" w:hAnsi="Arial" w:cs="Arial"/>
              </w:rPr>
              <w:t>are related programmes</w:t>
            </w:r>
          </w:p>
        </w:tc>
      </w:tr>
    </w:tbl>
    <w:p w14:paraId="09812817" w14:textId="77777777" w:rsidR="001277F3" w:rsidRPr="00AE6036" w:rsidRDefault="001277F3" w:rsidP="00671500">
      <w:pPr>
        <w:jc w:val="both"/>
        <w:rPr>
          <w:rFonts w:ascii="Arial" w:hAnsi="Arial" w:cs="Arial"/>
        </w:rPr>
      </w:pPr>
    </w:p>
    <w:p w14:paraId="523DCE95" w14:textId="42132A89" w:rsidR="0066590B" w:rsidRDefault="0066590B" w:rsidP="00671500">
      <w:pPr>
        <w:jc w:val="both"/>
        <w:rPr>
          <w:rFonts w:ascii="Arial" w:hAnsi="Arial" w:cs="Arial"/>
          <w:bCs/>
        </w:rPr>
      </w:pPr>
    </w:p>
    <w:p w14:paraId="7453AC86" w14:textId="7B9188E2" w:rsidR="0066590B" w:rsidRPr="0066590B" w:rsidRDefault="0066590B" w:rsidP="00671500">
      <w:pPr>
        <w:jc w:val="both"/>
        <w:rPr>
          <w:rFonts w:ascii="Arial" w:hAnsi="Arial" w:cs="Arial"/>
          <w:b/>
        </w:rPr>
      </w:pPr>
      <w:r w:rsidRPr="0066590B">
        <w:rPr>
          <w:rFonts w:ascii="Arial" w:hAnsi="Arial" w:cs="Arial"/>
          <w:b/>
        </w:rPr>
        <w:lastRenderedPageBreak/>
        <w:t>Relaxations</w:t>
      </w:r>
    </w:p>
    <w:p w14:paraId="0E16909B" w14:textId="61B035A2" w:rsidR="001277F3" w:rsidRPr="00BC72F3" w:rsidRDefault="001277F3" w:rsidP="00671500">
      <w:pPr>
        <w:jc w:val="both"/>
        <w:rPr>
          <w:rFonts w:ascii="Arial" w:hAnsi="Arial" w:cs="Arial"/>
          <w:bCs/>
          <w:lang w:val="en-US"/>
        </w:rPr>
      </w:pPr>
      <w:r w:rsidRPr="00BC72F3">
        <w:rPr>
          <w:rFonts w:ascii="Arial" w:hAnsi="Arial" w:cs="Arial"/>
          <w:bCs/>
        </w:rPr>
        <w:t>I</w:t>
      </w:r>
      <w:r w:rsidRPr="00BC72F3">
        <w:rPr>
          <w:rFonts w:ascii="Arial" w:hAnsi="Arial" w:cs="Arial"/>
          <w:bCs/>
          <w:lang w:val="en-US"/>
        </w:rPr>
        <w:t>t</w:t>
      </w:r>
      <w:r>
        <w:rPr>
          <w:rFonts w:ascii="Arial" w:hAnsi="Arial" w:cs="Arial"/>
          <w:bCs/>
          <w:lang w:val="en-US"/>
        </w:rPr>
        <w:t xml:space="preserve"> is</w:t>
      </w:r>
      <w:r w:rsidRPr="00BC72F3">
        <w:rPr>
          <w:rFonts w:ascii="Arial" w:hAnsi="Arial" w:cs="Arial"/>
          <w:bCs/>
          <w:lang w:val="en-US"/>
        </w:rPr>
        <w:t xml:space="preserve"> relatively straight</w:t>
      </w:r>
      <w:r w:rsidR="00621A8E">
        <w:rPr>
          <w:rFonts w:ascii="Arial" w:hAnsi="Arial" w:cs="Arial"/>
          <w:bCs/>
          <w:lang w:val="en-US"/>
        </w:rPr>
        <w:t xml:space="preserve"> forward</w:t>
      </w:r>
      <w:r w:rsidRPr="00BC72F3">
        <w:rPr>
          <w:rFonts w:ascii="Arial" w:hAnsi="Arial" w:cs="Arial"/>
          <w:bCs/>
          <w:lang w:val="en-US"/>
        </w:rPr>
        <w:t xml:space="preserve"> for the WMCA to request</w:t>
      </w:r>
      <w:r w:rsidR="00621A8E">
        <w:rPr>
          <w:rFonts w:ascii="Arial" w:hAnsi="Arial" w:cs="Arial"/>
          <w:bCs/>
          <w:lang w:val="en-US"/>
        </w:rPr>
        <w:t xml:space="preserve"> that</w:t>
      </w:r>
      <w:r w:rsidRPr="00BC72F3">
        <w:rPr>
          <w:rFonts w:ascii="Arial" w:hAnsi="Arial" w:cs="Arial"/>
          <w:bCs/>
          <w:lang w:val="en-US"/>
        </w:rPr>
        <w:t xml:space="preserve"> its College and Local Authorities </w:t>
      </w:r>
      <w:r w:rsidRPr="00BC72F3">
        <w:rPr>
          <w:rFonts w:ascii="Arial" w:hAnsi="Arial" w:cs="Arial"/>
          <w:bCs/>
        </w:rPr>
        <w:t xml:space="preserve">deliver the </w:t>
      </w:r>
      <w:r w:rsidR="00621A8E">
        <w:rPr>
          <w:rFonts w:ascii="Arial" w:hAnsi="Arial" w:cs="Arial"/>
          <w:bCs/>
        </w:rPr>
        <w:t xml:space="preserve">training outlined </w:t>
      </w:r>
      <w:r w:rsidRPr="00BC72F3">
        <w:rPr>
          <w:rFonts w:ascii="Arial" w:hAnsi="Arial" w:cs="Arial"/>
          <w:bCs/>
          <w:lang w:val="en-US"/>
        </w:rPr>
        <w:t>as they operate under grant agreements</w:t>
      </w:r>
      <w:r w:rsidRPr="00BC72F3">
        <w:rPr>
          <w:rFonts w:ascii="Arial" w:hAnsi="Arial" w:cs="Arial"/>
          <w:bCs/>
        </w:rPr>
        <w:t>.</w:t>
      </w:r>
      <w:r w:rsidRPr="00BC72F3">
        <w:rPr>
          <w:rFonts w:ascii="Arial" w:hAnsi="Arial" w:cs="Arial"/>
          <w:bCs/>
          <w:lang w:val="en-US"/>
        </w:rPr>
        <w:t xml:space="preserve"> </w:t>
      </w:r>
      <w:r w:rsidRPr="00BC72F3">
        <w:rPr>
          <w:rFonts w:ascii="Arial" w:hAnsi="Arial" w:cs="Arial"/>
          <w:bCs/>
        </w:rPr>
        <w:t>T</w:t>
      </w:r>
      <w:r w:rsidRPr="00BC72F3">
        <w:rPr>
          <w:rFonts w:ascii="Arial" w:hAnsi="Arial" w:cs="Arial"/>
          <w:bCs/>
          <w:lang w:val="en-US"/>
        </w:rPr>
        <w:t>here are challenges</w:t>
      </w:r>
      <w:r w:rsidR="00621A8E">
        <w:rPr>
          <w:rFonts w:ascii="Arial" w:hAnsi="Arial" w:cs="Arial"/>
          <w:bCs/>
          <w:lang w:val="en-US"/>
        </w:rPr>
        <w:t xml:space="preserve"> however</w:t>
      </w:r>
      <w:r w:rsidRPr="00BC72F3">
        <w:rPr>
          <w:rFonts w:ascii="Arial" w:hAnsi="Arial" w:cs="Arial"/>
          <w:bCs/>
          <w:lang w:val="en-US"/>
        </w:rPr>
        <w:t xml:space="preserve"> to enable independent training providers (ITPs) to diversify into this area based on contract for services agreements. </w:t>
      </w:r>
    </w:p>
    <w:p w14:paraId="72B82D59" w14:textId="77777777" w:rsidR="001277F3" w:rsidRPr="00BC72F3" w:rsidRDefault="001277F3" w:rsidP="00671500">
      <w:pPr>
        <w:jc w:val="both"/>
        <w:rPr>
          <w:rFonts w:ascii="Arial" w:hAnsi="Arial" w:cs="Arial"/>
          <w:bCs/>
        </w:rPr>
      </w:pPr>
      <w:r w:rsidRPr="00BC72F3">
        <w:rPr>
          <w:rFonts w:ascii="Arial" w:hAnsi="Arial" w:cs="Arial"/>
          <w:bCs/>
          <w:lang w:val="en-US"/>
        </w:rPr>
        <w:t>To open this opportunity up to ITP</w:t>
      </w:r>
      <w:r w:rsidRPr="00BC72F3">
        <w:rPr>
          <w:rFonts w:ascii="Arial" w:hAnsi="Arial" w:cs="Arial"/>
          <w:bCs/>
        </w:rPr>
        <w:t>’s,</w:t>
      </w:r>
      <w:r w:rsidRPr="00BC72F3">
        <w:rPr>
          <w:rFonts w:ascii="Arial" w:hAnsi="Arial" w:cs="Arial"/>
          <w:bCs/>
          <w:lang w:val="en-US"/>
        </w:rPr>
        <w:t xml:space="preserve"> the WMCA is proposing a number of relaxations in our contract agreements and certain funding rules. </w:t>
      </w:r>
      <w:r w:rsidRPr="00BC72F3">
        <w:rPr>
          <w:rFonts w:ascii="Arial" w:hAnsi="Arial" w:cs="Arial"/>
          <w:bCs/>
        </w:rPr>
        <w:t>W</w:t>
      </w:r>
      <w:r w:rsidRPr="00BC72F3">
        <w:rPr>
          <w:rFonts w:ascii="Arial" w:hAnsi="Arial" w:cs="Arial"/>
          <w:bCs/>
          <w:lang w:val="en-US"/>
        </w:rPr>
        <w:t xml:space="preserve">e will </w:t>
      </w:r>
      <w:r w:rsidRPr="00BC72F3">
        <w:rPr>
          <w:rFonts w:ascii="Arial" w:hAnsi="Arial" w:cs="Arial"/>
          <w:bCs/>
        </w:rPr>
        <w:t>make use of regulation 72 of the Public Contract Regulations 2015. This regulation permits the authority to make material modifications to existing contracts without a further procurement exercise where the need to modify arises from circumstances which a diligent authority could not have foreseen e.g. COVID-19.</w:t>
      </w:r>
    </w:p>
    <w:p w14:paraId="57B0CDC1" w14:textId="0D61C532" w:rsidR="0066590B" w:rsidRDefault="0066590B" w:rsidP="00671500">
      <w:pPr>
        <w:jc w:val="both"/>
        <w:rPr>
          <w:rFonts w:ascii="Arial" w:hAnsi="Arial" w:cs="Arial"/>
          <w:bCs/>
        </w:rPr>
      </w:pPr>
      <w:r>
        <w:rPr>
          <w:rFonts w:ascii="Arial" w:hAnsi="Arial" w:cs="Arial"/>
          <w:bCs/>
        </w:rPr>
        <w:t>Therefore, the following relaxations will apply related to the delivery of COVID-19 response:</w:t>
      </w:r>
    </w:p>
    <w:tbl>
      <w:tblPr>
        <w:tblStyle w:val="TableGrid"/>
        <w:tblW w:w="0" w:type="auto"/>
        <w:tblLook w:val="04A0" w:firstRow="1" w:lastRow="0" w:firstColumn="1" w:lastColumn="0" w:noHBand="0" w:noVBand="1"/>
      </w:tblPr>
      <w:tblGrid>
        <w:gridCol w:w="2405"/>
        <w:gridCol w:w="6611"/>
      </w:tblGrid>
      <w:tr w:rsidR="00E15E64" w:rsidRPr="00E15E64" w14:paraId="00AE5208" w14:textId="77777777" w:rsidTr="00E15E64">
        <w:tc>
          <w:tcPr>
            <w:tcW w:w="2405" w:type="dxa"/>
            <w:shd w:val="clear" w:color="auto" w:fill="F7CAAC" w:themeFill="accent2" w:themeFillTint="66"/>
          </w:tcPr>
          <w:p w14:paraId="4CB2A48E" w14:textId="49B55FDA" w:rsidR="00E15E64" w:rsidRPr="00E15E64" w:rsidRDefault="00E15E64" w:rsidP="00671500">
            <w:pPr>
              <w:jc w:val="both"/>
              <w:rPr>
                <w:b/>
                <w:bCs/>
              </w:rPr>
            </w:pPr>
            <w:r w:rsidRPr="00E15E64">
              <w:rPr>
                <w:b/>
                <w:bCs/>
              </w:rPr>
              <w:t>Programme</w:t>
            </w:r>
          </w:p>
        </w:tc>
        <w:tc>
          <w:tcPr>
            <w:tcW w:w="6611" w:type="dxa"/>
            <w:shd w:val="clear" w:color="auto" w:fill="F7CAAC" w:themeFill="accent2" w:themeFillTint="66"/>
          </w:tcPr>
          <w:p w14:paraId="7C5FC24F" w14:textId="5744904B" w:rsidR="00E15E64" w:rsidRPr="00E15E64" w:rsidRDefault="00E15E64" w:rsidP="00671500">
            <w:pPr>
              <w:jc w:val="both"/>
              <w:rPr>
                <w:b/>
                <w:bCs/>
              </w:rPr>
            </w:pPr>
            <w:r w:rsidRPr="00E15E64">
              <w:rPr>
                <w:b/>
                <w:bCs/>
              </w:rPr>
              <w:t xml:space="preserve">Relaxation </w:t>
            </w:r>
          </w:p>
        </w:tc>
      </w:tr>
      <w:tr w:rsidR="00E15E64" w14:paraId="1933DA67" w14:textId="77777777" w:rsidTr="00E15E64">
        <w:tc>
          <w:tcPr>
            <w:tcW w:w="2405" w:type="dxa"/>
            <w:vMerge w:val="restart"/>
            <w:vAlign w:val="center"/>
          </w:tcPr>
          <w:p w14:paraId="3A8D9DCD" w14:textId="3391C052" w:rsidR="00E15E64" w:rsidRDefault="00E15E64" w:rsidP="00671500">
            <w:pPr>
              <w:jc w:val="both"/>
              <w:rPr>
                <w:rFonts w:ascii="Arial" w:hAnsi="Arial" w:cs="Arial"/>
                <w:bCs/>
              </w:rPr>
            </w:pPr>
            <w:r>
              <w:rPr>
                <w:rFonts w:ascii="Arial" w:hAnsi="Arial" w:cs="Arial"/>
                <w:bCs/>
              </w:rPr>
              <w:t>AEB</w:t>
            </w:r>
          </w:p>
        </w:tc>
        <w:tc>
          <w:tcPr>
            <w:tcW w:w="6611" w:type="dxa"/>
          </w:tcPr>
          <w:p w14:paraId="65EB9158" w14:textId="13155956" w:rsidR="00E15E64" w:rsidRDefault="00E15E64" w:rsidP="00671500">
            <w:pPr>
              <w:jc w:val="both"/>
              <w:rPr>
                <w:rFonts w:ascii="Arial" w:hAnsi="Arial" w:cs="Arial"/>
                <w:bCs/>
              </w:rPr>
            </w:pPr>
            <w:r w:rsidRPr="00146BCD">
              <w:rPr>
                <w:rFonts w:ascii="Arial" w:hAnsi="Arial" w:cs="Arial"/>
                <w:bCs/>
              </w:rPr>
              <w:t xml:space="preserve">Enable providers operating under contracts for services to deliver additional SSA’s outside of current agreed delivery plan. </w:t>
            </w:r>
          </w:p>
        </w:tc>
      </w:tr>
      <w:tr w:rsidR="00E15E64" w14:paraId="3A3755F5" w14:textId="77777777" w:rsidTr="00E15E64">
        <w:tc>
          <w:tcPr>
            <w:tcW w:w="2405" w:type="dxa"/>
            <w:vMerge/>
          </w:tcPr>
          <w:p w14:paraId="754E5770" w14:textId="77777777" w:rsidR="00E15E64" w:rsidRDefault="00E15E64" w:rsidP="00671500">
            <w:pPr>
              <w:jc w:val="both"/>
              <w:rPr>
                <w:rFonts w:ascii="Arial" w:hAnsi="Arial" w:cs="Arial"/>
                <w:bCs/>
              </w:rPr>
            </w:pPr>
          </w:p>
        </w:tc>
        <w:tc>
          <w:tcPr>
            <w:tcW w:w="6611" w:type="dxa"/>
          </w:tcPr>
          <w:p w14:paraId="597D6277" w14:textId="643EA9C3" w:rsidR="00E15E64" w:rsidRDefault="00E15E64" w:rsidP="00671500">
            <w:pPr>
              <w:jc w:val="both"/>
              <w:rPr>
                <w:rFonts w:ascii="Arial" w:hAnsi="Arial" w:cs="Arial"/>
                <w:bCs/>
              </w:rPr>
            </w:pPr>
            <w:r w:rsidRPr="00146BCD">
              <w:rPr>
                <w:rFonts w:ascii="Arial" w:hAnsi="Arial" w:cs="Arial"/>
                <w:bCs/>
              </w:rPr>
              <w:t>Enable providers operating under contract for services to work across geographical areas outside current delivery plan.</w:t>
            </w:r>
          </w:p>
        </w:tc>
      </w:tr>
      <w:tr w:rsidR="00E15E64" w14:paraId="73739BE6" w14:textId="77777777" w:rsidTr="00E15E64">
        <w:tc>
          <w:tcPr>
            <w:tcW w:w="2405" w:type="dxa"/>
            <w:vMerge/>
          </w:tcPr>
          <w:p w14:paraId="77E972F7" w14:textId="77777777" w:rsidR="00E15E64" w:rsidRDefault="00E15E64" w:rsidP="00671500">
            <w:pPr>
              <w:jc w:val="both"/>
              <w:rPr>
                <w:rFonts w:ascii="Arial" w:hAnsi="Arial" w:cs="Arial"/>
                <w:bCs/>
              </w:rPr>
            </w:pPr>
          </w:p>
        </w:tc>
        <w:tc>
          <w:tcPr>
            <w:tcW w:w="6611" w:type="dxa"/>
          </w:tcPr>
          <w:p w14:paraId="51EC5B33" w14:textId="2EB52B97" w:rsidR="00E15E64" w:rsidRDefault="00E15E64" w:rsidP="00671500">
            <w:pPr>
              <w:jc w:val="both"/>
              <w:rPr>
                <w:rFonts w:ascii="Arial" w:hAnsi="Arial" w:cs="Arial"/>
                <w:bCs/>
              </w:rPr>
            </w:pPr>
            <w:r w:rsidRPr="00146BCD">
              <w:rPr>
                <w:rFonts w:ascii="Arial" w:hAnsi="Arial" w:cs="Arial"/>
                <w:bCs/>
              </w:rPr>
              <w:t xml:space="preserve">Enable providers operating under contract for services to deliver to both unemployed and employed individuals in delivery plans i.e. Lot 1 and Lot 2 delivery. </w:t>
            </w:r>
          </w:p>
        </w:tc>
      </w:tr>
      <w:tr w:rsidR="00E15E64" w14:paraId="4A2F35C6" w14:textId="77777777" w:rsidTr="00E15E64">
        <w:tc>
          <w:tcPr>
            <w:tcW w:w="2405" w:type="dxa"/>
            <w:vMerge/>
          </w:tcPr>
          <w:p w14:paraId="3530C7BB" w14:textId="77777777" w:rsidR="00E15E64" w:rsidRDefault="00E15E64" w:rsidP="00671500">
            <w:pPr>
              <w:jc w:val="both"/>
              <w:rPr>
                <w:rFonts w:ascii="Arial" w:hAnsi="Arial" w:cs="Arial"/>
                <w:bCs/>
              </w:rPr>
            </w:pPr>
          </w:p>
        </w:tc>
        <w:tc>
          <w:tcPr>
            <w:tcW w:w="6611" w:type="dxa"/>
          </w:tcPr>
          <w:p w14:paraId="2B6B3078" w14:textId="2154172C" w:rsidR="00E15E64" w:rsidRDefault="00E15E64" w:rsidP="00671500">
            <w:pPr>
              <w:jc w:val="both"/>
              <w:rPr>
                <w:rFonts w:ascii="Arial" w:hAnsi="Arial" w:cs="Arial"/>
                <w:bCs/>
              </w:rPr>
            </w:pPr>
            <w:r w:rsidRPr="00146BCD">
              <w:rPr>
                <w:rFonts w:ascii="Arial" w:hAnsi="Arial" w:cs="Arial"/>
                <w:bCs/>
              </w:rPr>
              <w:t>Pause performance management point 2 (April) reconciliation of contracts for services.</w:t>
            </w:r>
          </w:p>
        </w:tc>
      </w:tr>
    </w:tbl>
    <w:p w14:paraId="74AB5CBD" w14:textId="77777777" w:rsidR="004E2BC0" w:rsidRPr="00DD5633" w:rsidRDefault="004E2BC0" w:rsidP="00671500">
      <w:pPr>
        <w:jc w:val="both"/>
        <w:rPr>
          <w:rFonts w:ascii="Arial" w:hAnsi="Arial" w:cs="Arial"/>
          <w:b/>
          <w:u w:val="single"/>
        </w:rPr>
      </w:pPr>
    </w:p>
    <w:p w14:paraId="02097B93" w14:textId="0CAA3E61" w:rsidR="004E2BC0" w:rsidRPr="00172CEC" w:rsidRDefault="00D228AF" w:rsidP="00671500">
      <w:pPr>
        <w:jc w:val="both"/>
        <w:rPr>
          <w:rFonts w:ascii="Arial" w:hAnsi="Arial" w:cs="Arial"/>
          <w:b/>
          <w:u w:val="single"/>
        </w:rPr>
      </w:pPr>
      <w:r w:rsidRPr="00172CEC">
        <w:rPr>
          <w:rFonts w:ascii="Arial" w:hAnsi="Arial" w:cs="Arial"/>
          <w:b/>
          <w:u w:val="single"/>
        </w:rPr>
        <w:t>Frequently asked question</w:t>
      </w:r>
    </w:p>
    <w:p w14:paraId="475B0AE4" w14:textId="49A2BE7A" w:rsidR="00172CEC" w:rsidRDefault="00172CEC" w:rsidP="00671500">
      <w:pPr>
        <w:jc w:val="both"/>
        <w:rPr>
          <w:rFonts w:ascii="Arial" w:hAnsi="Arial" w:cs="Arial"/>
          <w:b/>
          <w:u w:val="single"/>
        </w:rPr>
      </w:pPr>
      <w:r>
        <w:rPr>
          <w:rFonts w:ascii="Arial" w:hAnsi="Arial" w:cs="Arial"/>
          <w:b/>
          <w:u w:val="single"/>
        </w:rPr>
        <w:t>How do I get involved?</w:t>
      </w:r>
    </w:p>
    <w:p w14:paraId="2600BEB4" w14:textId="200D3B8B" w:rsidR="00172CEC" w:rsidRDefault="00172CEC" w:rsidP="00671500">
      <w:pPr>
        <w:jc w:val="both"/>
        <w:rPr>
          <w:rFonts w:ascii="Arial" w:hAnsi="Arial" w:cs="Arial"/>
          <w:bCs/>
        </w:rPr>
      </w:pPr>
      <w:r w:rsidRPr="00172CEC">
        <w:rPr>
          <w:rFonts w:ascii="Arial" w:hAnsi="Arial" w:cs="Arial"/>
          <w:bCs/>
        </w:rPr>
        <w:t>In appendix 1 you will find a template for you to complete which will capture your adult offer, your capability to deliver</w:t>
      </w:r>
      <w:r>
        <w:rPr>
          <w:rFonts w:ascii="Arial" w:hAnsi="Arial" w:cs="Arial"/>
          <w:bCs/>
        </w:rPr>
        <w:t xml:space="preserve"> and the funding amounts </w:t>
      </w:r>
      <w:r w:rsidR="003B5CC7">
        <w:rPr>
          <w:rFonts w:ascii="Arial" w:hAnsi="Arial" w:cs="Arial"/>
          <w:bCs/>
        </w:rPr>
        <w:t>which will be ringfenced for this delivery</w:t>
      </w:r>
      <w:r>
        <w:rPr>
          <w:rFonts w:ascii="Arial" w:hAnsi="Arial" w:cs="Arial"/>
          <w:bCs/>
        </w:rPr>
        <w:t xml:space="preserve">. </w:t>
      </w:r>
      <w:r w:rsidRPr="00172CEC">
        <w:rPr>
          <w:rFonts w:ascii="Arial" w:hAnsi="Arial" w:cs="Arial"/>
          <w:bCs/>
        </w:rPr>
        <w:t xml:space="preserve"> </w:t>
      </w:r>
    </w:p>
    <w:p w14:paraId="36B20D14" w14:textId="034B0BC0" w:rsidR="00244F99" w:rsidRPr="00244F99" w:rsidRDefault="00244F99" w:rsidP="00671500">
      <w:pPr>
        <w:jc w:val="both"/>
        <w:rPr>
          <w:rFonts w:ascii="Arial" w:hAnsi="Arial" w:cs="Arial"/>
          <w:b/>
          <w:u w:val="single"/>
        </w:rPr>
      </w:pPr>
      <w:r w:rsidRPr="00244F99">
        <w:rPr>
          <w:rFonts w:ascii="Arial" w:hAnsi="Arial" w:cs="Arial"/>
          <w:b/>
          <w:u w:val="single"/>
        </w:rPr>
        <w:t>Do I need to have experience to deliver in other SSA’s?</w:t>
      </w:r>
    </w:p>
    <w:p w14:paraId="710E75D3" w14:textId="2B983E45" w:rsidR="00244F99" w:rsidRPr="00172CEC" w:rsidRDefault="00244F99" w:rsidP="00671500">
      <w:pPr>
        <w:jc w:val="both"/>
        <w:rPr>
          <w:rFonts w:ascii="Arial" w:hAnsi="Arial" w:cs="Arial"/>
          <w:bCs/>
        </w:rPr>
      </w:pPr>
      <w:r>
        <w:rPr>
          <w:rFonts w:ascii="Arial" w:hAnsi="Arial" w:cs="Arial"/>
          <w:bCs/>
        </w:rPr>
        <w:t xml:space="preserve">Yes. We expect you to draw upon knowledge and capability to deliver in other sectors outside of your delivery plan. For example, you may deliver Health &amp; Social Care provision as part of your apprenticeship offer. This would provide a degree of assurance to the WMCA that you have the infrastructure to support this delivery. </w:t>
      </w:r>
    </w:p>
    <w:p w14:paraId="472A0236" w14:textId="0ABD94C3" w:rsidR="00172CEC" w:rsidRDefault="00172CEC" w:rsidP="00671500">
      <w:pPr>
        <w:jc w:val="both"/>
        <w:rPr>
          <w:rFonts w:ascii="Arial" w:hAnsi="Arial" w:cs="Arial"/>
          <w:b/>
          <w:u w:val="single"/>
        </w:rPr>
      </w:pPr>
      <w:r>
        <w:rPr>
          <w:rFonts w:ascii="Arial" w:hAnsi="Arial" w:cs="Arial"/>
          <w:b/>
          <w:u w:val="single"/>
        </w:rPr>
        <w:t>How will this be funded?</w:t>
      </w:r>
    </w:p>
    <w:p w14:paraId="086C080E" w14:textId="03384073" w:rsidR="00244F99" w:rsidRDefault="00172CEC" w:rsidP="00671500">
      <w:pPr>
        <w:jc w:val="both"/>
        <w:rPr>
          <w:rFonts w:ascii="Arial" w:hAnsi="Arial" w:cs="Arial"/>
          <w:b/>
          <w:u w:val="single"/>
        </w:rPr>
      </w:pPr>
      <w:r>
        <w:rPr>
          <w:rFonts w:ascii="Arial" w:hAnsi="Arial" w:cs="Arial"/>
          <w:bCs/>
        </w:rPr>
        <w:t xml:space="preserve">This offer will fall under your </w:t>
      </w:r>
      <w:r w:rsidR="001277F3">
        <w:rPr>
          <w:rFonts w:ascii="Arial" w:hAnsi="Arial" w:cs="Arial"/>
          <w:bCs/>
        </w:rPr>
        <w:t xml:space="preserve">current WMCA agreements </w:t>
      </w:r>
      <w:r>
        <w:rPr>
          <w:rFonts w:ascii="Arial" w:hAnsi="Arial" w:cs="Arial"/>
          <w:bCs/>
        </w:rPr>
        <w:t>and therefore can be funded within your current maximum contract value.</w:t>
      </w:r>
      <w:r w:rsidR="003B5CC7">
        <w:rPr>
          <w:rFonts w:ascii="Arial" w:hAnsi="Arial" w:cs="Arial"/>
          <w:bCs/>
        </w:rPr>
        <w:t xml:space="preserve"> The WMCA’s current funding rules will apply. </w:t>
      </w:r>
    </w:p>
    <w:p w14:paraId="7A27D12C" w14:textId="7E93D555" w:rsidR="00D228AF" w:rsidRDefault="00110FD7" w:rsidP="00671500">
      <w:pPr>
        <w:jc w:val="both"/>
        <w:rPr>
          <w:rFonts w:ascii="Arial" w:hAnsi="Arial" w:cs="Arial"/>
          <w:b/>
          <w:u w:val="single"/>
        </w:rPr>
      </w:pPr>
      <w:r>
        <w:rPr>
          <w:rFonts w:ascii="Arial" w:hAnsi="Arial" w:cs="Arial"/>
          <w:b/>
          <w:u w:val="single"/>
        </w:rPr>
        <w:t>Do I have to have an online presence to deliver COVID-19 response provision?</w:t>
      </w:r>
    </w:p>
    <w:p w14:paraId="4BDAED44" w14:textId="6182F589" w:rsidR="00762556" w:rsidRDefault="00110FD7" w:rsidP="00671500">
      <w:pPr>
        <w:jc w:val="both"/>
        <w:rPr>
          <w:rFonts w:ascii="Arial" w:hAnsi="Arial" w:cs="Arial"/>
          <w:bCs/>
        </w:rPr>
      </w:pPr>
      <w:r w:rsidRPr="00110FD7">
        <w:rPr>
          <w:rFonts w:ascii="Arial" w:hAnsi="Arial" w:cs="Arial"/>
          <w:bCs/>
        </w:rPr>
        <w:t xml:space="preserve">Yes, the WMCA is following government advice </w:t>
      </w:r>
      <w:r>
        <w:rPr>
          <w:rFonts w:ascii="Arial" w:hAnsi="Arial" w:cs="Arial"/>
          <w:bCs/>
        </w:rPr>
        <w:t>related to</w:t>
      </w:r>
      <w:r w:rsidRPr="00110FD7">
        <w:rPr>
          <w:rFonts w:ascii="Arial" w:hAnsi="Arial" w:cs="Arial"/>
          <w:bCs/>
        </w:rPr>
        <w:t xml:space="preserve"> social distancin</w:t>
      </w:r>
      <w:r>
        <w:rPr>
          <w:rFonts w:ascii="Arial" w:hAnsi="Arial" w:cs="Arial"/>
          <w:bCs/>
        </w:rPr>
        <w:t xml:space="preserve">g. All proposals to deliver COVID-19 response provision but be delivered online. Providers will need to evidence that they have on-line delivery capabilities. </w:t>
      </w:r>
      <w:r w:rsidR="00201B34">
        <w:rPr>
          <w:rFonts w:ascii="Arial" w:hAnsi="Arial" w:cs="Arial"/>
          <w:bCs/>
        </w:rPr>
        <w:t xml:space="preserve">There are exceptions that can be considered e.g. key workers falling under current government guidelines. </w:t>
      </w:r>
    </w:p>
    <w:p w14:paraId="78127B8E" w14:textId="2AB9828B" w:rsidR="00762556" w:rsidRDefault="00762556" w:rsidP="00671500">
      <w:pPr>
        <w:jc w:val="both"/>
        <w:rPr>
          <w:rFonts w:ascii="Arial" w:hAnsi="Arial" w:cs="Arial"/>
          <w:b/>
          <w:u w:val="single"/>
        </w:rPr>
      </w:pPr>
      <w:r w:rsidRPr="00762556">
        <w:rPr>
          <w:rFonts w:ascii="Arial" w:hAnsi="Arial" w:cs="Arial"/>
          <w:b/>
          <w:u w:val="single"/>
        </w:rPr>
        <w:t>What types of provision are you looking for?</w:t>
      </w:r>
    </w:p>
    <w:p w14:paraId="34316A7A" w14:textId="7354E474" w:rsidR="004E6DEA" w:rsidRDefault="004E6DEA" w:rsidP="00671500">
      <w:pPr>
        <w:jc w:val="both"/>
        <w:rPr>
          <w:rFonts w:ascii="Arial" w:hAnsi="Arial" w:cs="Arial"/>
          <w:bCs/>
        </w:rPr>
      </w:pPr>
      <w:r w:rsidRPr="004E6DEA">
        <w:rPr>
          <w:rFonts w:ascii="Arial" w:hAnsi="Arial" w:cs="Arial"/>
          <w:bCs/>
        </w:rPr>
        <w:lastRenderedPageBreak/>
        <w:t>We’re looking for a clear adult offer responding the needs of residents</w:t>
      </w:r>
      <w:r>
        <w:rPr>
          <w:rFonts w:ascii="Arial" w:hAnsi="Arial" w:cs="Arial"/>
          <w:bCs/>
        </w:rPr>
        <w:t>, broadly in line with the table above although this isn’t exhausted</w:t>
      </w:r>
      <w:r w:rsidRPr="004E6DEA">
        <w:rPr>
          <w:rFonts w:ascii="Arial" w:hAnsi="Arial" w:cs="Arial"/>
          <w:bCs/>
        </w:rPr>
        <w:t>. Providers should make it clear within their offer in the need that they’re responding to which formulises the intent in the curriculum.</w:t>
      </w:r>
      <w:r>
        <w:rPr>
          <w:rFonts w:ascii="Arial" w:hAnsi="Arial" w:cs="Arial"/>
          <w:bCs/>
        </w:rPr>
        <w:t xml:space="preserve"> </w:t>
      </w:r>
    </w:p>
    <w:p w14:paraId="10997093" w14:textId="17F3F5ED" w:rsidR="006B2006" w:rsidRDefault="004E6DEA" w:rsidP="00671500">
      <w:pPr>
        <w:jc w:val="both"/>
        <w:rPr>
          <w:rFonts w:ascii="Arial" w:hAnsi="Arial" w:cs="Arial"/>
          <w:bCs/>
        </w:rPr>
      </w:pPr>
      <w:r>
        <w:rPr>
          <w:rFonts w:ascii="Arial" w:hAnsi="Arial" w:cs="Arial"/>
          <w:bCs/>
        </w:rPr>
        <w:t xml:space="preserve">Providers should also ensure that they have direct claims status to ensure residents achievement can be </w:t>
      </w:r>
      <w:r w:rsidR="00B45479">
        <w:rPr>
          <w:rFonts w:ascii="Arial" w:hAnsi="Arial" w:cs="Arial"/>
          <w:bCs/>
        </w:rPr>
        <w:t>certified and</w:t>
      </w:r>
      <w:r w:rsidR="006B2006">
        <w:rPr>
          <w:rFonts w:ascii="Arial" w:hAnsi="Arial" w:cs="Arial"/>
          <w:bCs/>
        </w:rPr>
        <w:t xml:space="preserve"> consider how assessment can take place for those programmes reliant on testing and invigilation conditions e.g. Maths</w:t>
      </w:r>
      <w:r w:rsidR="004D713B">
        <w:rPr>
          <w:rFonts w:ascii="Arial" w:hAnsi="Arial" w:cs="Arial"/>
          <w:bCs/>
        </w:rPr>
        <w:t xml:space="preserve"> and English</w:t>
      </w:r>
      <w:r>
        <w:rPr>
          <w:rFonts w:ascii="Arial" w:hAnsi="Arial" w:cs="Arial"/>
          <w:bCs/>
        </w:rPr>
        <w:t>.</w:t>
      </w:r>
    </w:p>
    <w:p w14:paraId="57CE0AA7" w14:textId="0B9F18AF" w:rsidR="00674157" w:rsidRDefault="00674157" w:rsidP="00671500">
      <w:pPr>
        <w:jc w:val="both"/>
        <w:rPr>
          <w:rFonts w:ascii="Arial" w:hAnsi="Arial" w:cs="Arial"/>
          <w:b/>
          <w:u w:val="single"/>
        </w:rPr>
      </w:pPr>
      <w:r w:rsidRPr="00674157">
        <w:rPr>
          <w:rFonts w:ascii="Arial" w:hAnsi="Arial" w:cs="Arial"/>
          <w:b/>
          <w:u w:val="single"/>
        </w:rPr>
        <w:t>Is there anything that the WMCA isn’t looking for?</w:t>
      </w:r>
    </w:p>
    <w:p w14:paraId="76CC264A" w14:textId="06737163" w:rsidR="00674157" w:rsidRDefault="00674157" w:rsidP="00671500">
      <w:pPr>
        <w:jc w:val="both"/>
        <w:rPr>
          <w:rFonts w:ascii="Arial" w:hAnsi="Arial" w:cs="Arial"/>
          <w:bCs/>
        </w:rPr>
      </w:pPr>
      <w:r w:rsidRPr="00674157">
        <w:rPr>
          <w:rFonts w:ascii="Arial" w:hAnsi="Arial" w:cs="Arial"/>
          <w:bCs/>
        </w:rPr>
        <w:t xml:space="preserve">We are open to provider submissions on what they can deliver in this challenging climate. </w:t>
      </w:r>
      <w:r>
        <w:rPr>
          <w:rFonts w:ascii="Arial" w:hAnsi="Arial" w:cs="Arial"/>
          <w:bCs/>
        </w:rPr>
        <w:t xml:space="preserve">It is important to us that we continue to protect the public purse through this pandemic and important that we all act responsibly during this period. </w:t>
      </w:r>
    </w:p>
    <w:p w14:paraId="71829D41" w14:textId="1ECEB983" w:rsidR="00674157" w:rsidRPr="00674157" w:rsidRDefault="00674157" w:rsidP="00671500">
      <w:pPr>
        <w:jc w:val="both"/>
        <w:rPr>
          <w:rFonts w:ascii="Arial" w:hAnsi="Arial" w:cs="Arial"/>
          <w:bCs/>
        </w:rPr>
      </w:pPr>
      <w:r>
        <w:rPr>
          <w:rFonts w:ascii="Arial" w:hAnsi="Arial" w:cs="Arial"/>
          <w:bCs/>
        </w:rPr>
        <w:t xml:space="preserve">As we have communicated at previous events prior to devolution there were a number of certificate and awards qualifications delivered at scale e.g. employability and infection control with little impact especially when delivered as stand-alone qualifications. We will continue </w:t>
      </w:r>
      <w:r w:rsidR="000156E1">
        <w:rPr>
          <w:rFonts w:ascii="Arial" w:hAnsi="Arial" w:cs="Arial"/>
          <w:bCs/>
        </w:rPr>
        <w:t>to monitor the use of these</w:t>
      </w:r>
      <w:r>
        <w:rPr>
          <w:rFonts w:ascii="Arial" w:hAnsi="Arial" w:cs="Arial"/>
          <w:bCs/>
        </w:rPr>
        <w:t xml:space="preserve"> </w:t>
      </w:r>
      <w:r w:rsidR="000156E1">
        <w:rPr>
          <w:rFonts w:ascii="Arial" w:hAnsi="Arial" w:cs="Arial"/>
          <w:bCs/>
        </w:rPr>
        <w:t>qualifications</w:t>
      </w:r>
      <w:r>
        <w:rPr>
          <w:rFonts w:ascii="Arial" w:hAnsi="Arial" w:cs="Arial"/>
          <w:bCs/>
        </w:rPr>
        <w:t xml:space="preserve"> which through on-line learning can be delivered at much lower cost than the published LARS funded rate</w:t>
      </w:r>
      <w:r w:rsidR="00180048">
        <w:rPr>
          <w:rFonts w:ascii="Arial" w:hAnsi="Arial" w:cs="Arial"/>
          <w:bCs/>
        </w:rPr>
        <w:t>. Therefore, it</w:t>
      </w:r>
      <w:r w:rsidR="00621A8E">
        <w:rPr>
          <w:rFonts w:ascii="Arial" w:hAnsi="Arial" w:cs="Arial"/>
          <w:bCs/>
        </w:rPr>
        <w:t xml:space="preserve"> is</w:t>
      </w:r>
      <w:r w:rsidR="00180048">
        <w:rPr>
          <w:rFonts w:ascii="Arial" w:hAnsi="Arial" w:cs="Arial"/>
          <w:bCs/>
        </w:rPr>
        <w:t xml:space="preserve"> important that providers do</w:t>
      </w:r>
      <w:r w:rsidR="00621A8E">
        <w:rPr>
          <w:rFonts w:ascii="Arial" w:hAnsi="Arial" w:cs="Arial"/>
          <w:bCs/>
        </w:rPr>
        <w:t xml:space="preserve"> not</w:t>
      </w:r>
      <w:r w:rsidR="00180048">
        <w:rPr>
          <w:rFonts w:ascii="Arial" w:hAnsi="Arial" w:cs="Arial"/>
          <w:bCs/>
        </w:rPr>
        <w:t xml:space="preserve"> assume that the WMCA will </w:t>
      </w:r>
      <w:r w:rsidR="000156E1">
        <w:rPr>
          <w:rFonts w:ascii="Arial" w:hAnsi="Arial" w:cs="Arial"/>
          <w:bCs/>
        </w:rPr>
        <w:t>pay</w:t>
      </w:r>
      <w:r w:rsidR="00180048">
        <w:rPr>
          <w:rFonts w:ascii="Arial" w:hAnsi="Arial" w:cs="Arial"/>
          <w:bCs/>
        </w:rPr>
        <w:t xml:space="preserve"> LARS funded rates. </w:t>
      </w:r>
    </w:p>
    <w:p w14:paraId="74D32CA3" w14:textId="57B86380" w:rsidR="006B2006" w:rsidRDefault="00327DD4" w:rsidP="00671500">
      <w:pPr>
        <w:jc w:val="both"/>
        <w:rPr>
          <w:rFonts w:ascii="Arial" w:hAnsi="Arial" w:cs="Arial"/>
          <w:b/>
          <w:u w:val="single"/>
        </w:rPr>
      </w:pPr>
      <w:r>
        <w:rPr>
          <w:rFonts w:ascii="Arial" w:hAnsi="Arial" w:cs="Arial"/>
          <w:b/>
          <w:u w:val="single"/>
        </w:rPr>
        <w:t xml:space="preserve">What about </w:t>
      </w:r>
      <w:r w:rsidR="006B2006" w:rsidRPr="006B2006">
        <w:rPr>
          <w:rFonts w:ascii="Arial" w:hAnsi="Arial" w:cs="Arial"/>
          <w:b/>
          <w:u w:val="single"/>
        </w:rPr>
        <w:t>Health and Social Care?</w:t>
      </w:r>
    </w:p>
    <w:p w14:paraId="22AB2E0B" w14:textId="62AB6B42" w:rsidR="00076C9C" w:rsidRDefault="006B2006" w:rsidP="00671500">
      <w:pPr>
        <w:jc w:val="both"/>
        <w:rPr>
          <w:rFonts w:ascii="Arial" w:hAnsi="Arial" w:cs="Arial"/>
          <w:bCs/>
        </w:rPr>
      </w:pPr>
      <w:r>
        <w:rPr>
          <w:rFonts w:ascii="Arial" w:hAnsi="Arial" w:cs="Arial"/>
          <w:bCs/>
        </w:rPr>
        <w:t>Understandably, there is interest in Health and Social Care</w:t>
      </w:r>
      <w:r w:rsidR="00327DD4">
        <w:rPr>
          <w:rFonts w:ascii="Arial" w:hAnsi="Arial" w:cs="Arial"/>
          <w:bCs/>
        </w:rPr>
        <w:t xml:space="preserve"> provision and there is a clear need to prepare individuals for work in this area</w:t>
      </w:r>
      <w:r w:rsidR="00EF21BF">
        <w:rPr>
          <w:rFonts w:ascii="Arial" w:hAnsi="Arial" w:cs="Arial"/>
          <w:bCs/>
        </w:rPr>
        <w:t xml:space="preserve"> given the current COVID-19 outbreak. </w:t>
      </w:r>
      <w:r w:rsidR="00076C9C">
        <w:rPr>
          <w:rFonts w:ascii="Arial" w:hAnsi="Arial" w:cs="Arial"/>
          <w:bCs/>
        </w:rPr>
        <w:t>The WMCA in responding to this urgent demand is putting a call to it providers who have expertise to deliver an accelerated on-line learning programme consisting of:</w:t>
      </w:r>
    </w:p>
    <w:p w14:paraId="1A964744" w14:textId="433923CA" w:rsidR="00076C9C" w:rsidRDefault="00076C9C" w:rsidP="00671500">
      <w:pPr>
        <w:pStyle w:val="ListParagraph"/>
        <w:numPr>
          <w:ilvl w:val="0"/>
          <w:numId w:val="37"/>
        </w:numPr>
        <w:jc w:val="both"/>
        <w:rPr>
          <w:rFonts w:ascii="Arial" w:hAnsi="Arial" w:cs="Arial"/>
          <w:bCs/>
        </w:rPr>
      </w:pPr>
      <w:r>
        <w:rPr>
          <w:rFonts w:ascii="Arial" w:hAnsi="Arial" w:cs="Arial"/>
          <w:bCs/>
        </w:rPr>
        <w:t>Food Safety e-learning</w:t>
      </w:r>
    </w:p>
    <w:p w14:paraId="021EE643" w14:textId="5EB8B3C0" w:rsidR="00076C9C" w:rsidRDefault="00076C9C" w:rsidP="00671500">
      <w:pPr>
        <w:pStyle w:val="ListParagraph"/>
        <w:numPr>
          <w:ilvl w:val="0"/>
          <w:numId w:val="37"/>
        </w:numPr>
        <w:jc w:val="both"/>
        <w:rPr>
          <w:rFonts w:ascii="Arial" w:hAnsi="Arial" w:cs="Arial"/>
          <w:bCs/>
        </w:rPr>
      </w:pPr>
      <w:r>
        <w:rPr>
          <w:rFonts w:ascii="Arial" w:hAnsi="Arial" w:cs="Arial"/>
          <w:bCs/>
        </w:rPr>
        <w:t>Health and Safety e-learning</w:t>
      </w:r>
    </w:p>
    <w:p w14:paraId="6ED4B220" w14:textId="4D669117" w:rsidR="00076C9C" w:rsidRDefault="00076C9C" w:rsidP="00671500">
      <w:pPr>
        <w:pStyle w:val="ListParagraph"/>
        <w:numPr>
          <w:ilvl w:val="0"/>
          <w:numId w:val="37"/>
        </w:numPr>
        <w:jc w:val="both"/>
        <w:rPr>
          <w:rFonts w:ascii="Arial" w:hAnsi="Arial" w:cs="Arial"/>
          <w:bCs/>
        </w:rPr>
      </w:pPr>
      <w:r>
        <w:rPr>
          <w:rFonts w:ascii="Arial" w:hAnsi="Arial" w:cs="Arial"/>
          <w:bCs/>
        </w:rPr>
        <w:t xml:space="preserve">Equality and Diversity </w:t>
      </w:r>
    </w:p>
    <w:p w14:paraId="72D8FCDD" w14:textId="5453D71D" w:rsidR="00076C9C" w:rsidRDefault="00076C9C" w:rsidP="00671500">
      <w:pPr>
        <w:pStyle w:val="ListParagraph"/>
        <w:numPr>
          <w:ilvl w:val="0"/>
          <w:numId w:val="37"/>
        </w:numPr>
        <w:jc w:val="both"/>
        <w:rPr>
          <w:rFonts w:ascii="Arial" w:hAnsi="Arial" w:cs="Arial"/>
          <w:bCs/>
        </w:rPr>
      </w:pPr>
      <w:r>
        <w:rPr>
          <w:rFonts w:ascii="Arial" w:hAnsi="Arial" w:cs="Arial"/>
          <w:bCs/>
        </w:rPr>
        <w:t>Safeguarding Children</w:t>
      </w:r>
    </w:p>
    <w:p w14:paraId="2F706654" w14:textId="587817B4" w:rsidR="00076C9C" w:rsidRDefault="00076C9C" w:rsidP="00671500">
      <w:pPr>
        <w:pStyle w:val="ListParagraph"/>
        <w:numPr>
          <w:ilvl w:val="0"/>
          <w:numId w:val="37"/>
        </w:numPr>
        <w:jc w:val="both"/>
        <w:rPr>
          <w:rFonts w:ascii="Arial" w:hAnsi="Arial" w:cs="Arial"/>
          <w:bCs/>
        </w:rPr>
      </w:pPr>
      <w:r>
        <w:rPr>
          <w:rFonts w:ascii="Arial" w:hAnsi="Arial" w:cs="Arial"/>
          <w:bCs/>
        </w:rPr>
        <w:t xml:space="preserve">Infection prevention and control </w:t>
      </w:r>
    </w:p>
    <w:p w14:paraId="12322DEF" w14:textId="43D5B445" w:rsidR="00076C9C" w:rsidRDefault="00076C9C" w:rsidP="00671500">
      <w:pPr>
        <w:pStyle w:val="ListParagraph"/>
        <w:numPr>
          <w:ilvl w:val="0"/>
          <w:numId w:val="37"/>
        </w:numPr>
        <w:jc w:val="both"/>
        <w:rPr>
          <w:rFonts w:ascii="Arial" w:hAnsi="Arial" w:cs="Arial"/>
          <w:bCs/>
        </w:rPr>
      </w:pPr>
      <w:r>
        <w:rPr>
          <w:rFonts w:ascii="Arial" w:hAnsi="Arial" w:cs="Arial"/>
          <w:bCs/>
        </w:rPr>
        <w:t>Manuel Handling</w:t>
      </w:r>
    </w:p>
    <w:p w14:paraId="2F089CFF" w14:textId="2E20379A" w:rsidR="004D713B" w:rsidRDefault="00076C9C" w:rsidP="00671500">
      <w:pPr>
        <w:jc w:val="both"/>
        <w:rPr>
          <w:rFonts w:ascii="Arial" w:hAnsi="Arial" w:cs="Arial"/>
          <w:bCs/>
        </w:rPr>
      </w:pPr>
      <w:r>
        <w:rPr>
          <w:rFonts w:ascii="Arial" w:hAnsi="Arial" w:cs="Arial"/>
          <w:bCs/>
        </w:rPr>
        <w:t>Given the pressure on time we expect that this delivery will be non-accredited short and sharp online delivery</w:t>
      </w:r>
      <w:r w:rsidR="004D713B">
        <w:rPr>
          <w:rFonts w:ascii="Arial" w:hAnsi="Arial" w:cs="Arial"/>
          <w:bCs/>
        </w:rPr>
        <w:t>,</w:t>
      </w:r>
      <w:r>
        <w:rPr>
          <w:rFonts w:ascii="Arial" w:hAnsi="Arial" w:cs="Arial"/>
          <w:bCs/>
        </w:rPr>
        <w:t xml:space="preserve"> consisting a total of </w:t>
      </w:r>
      <w:r w:rsidR="003201BD">
        <w:rPr>
          <w:rFonts w:ascii="Arial" w:hAnsi="Arial" w:cs="Arial"/>
          <w:bCs/>
        </w:rPr>
        <w:t>12 hrs of on-line delivery at a rate of £10</w:t>
      </w:r>
      <w:r w:rsidR="004D713B">
        <w:rPr>
          <w:rFonts w:ascii="Arial" w:hAnsi="Arial" w:cs="Arial"/>
          <w:bCs/>
        </w:rPr>
        <w:t>1</w:t>
      </w:r>
      <w:r w:rsidR="003201BD">
        <w:rPr>
          <w:rFonts w:ascii="Arial" w:hAnsi="Arial" w:cs="Arial"/>
          <w:bCs/>
        </w:rPr>
        <w:t xml:space="preserve"> per learner. To support progression into work through this model the WMCA will also consider job outcome payment</w:t>
      </w:r>
      <w:r w:rsidR="004D713B">
        <w:rPr>
          <w:rFonts w:ascii="Arial" w:hAnsi="Arial" w:cs="Arial"/>
          <w:bCs/>
        </w:rPr>
        <w:t xml:space="preserve"> proposals from providers. </w:t>
      </w:r>
    </w:p>
    <w:p w14:paraId="7B53C3AF" w14:textId="77777777" w:rsidR="006B2006" w:rsidRPr="006B2006" w:rsidRDefault="006B2006" w:rsidP="00671500">
      <w:pPr>
        <w:jc w:val="both"/>
        <w:rPr>
          <w:rFonts w:ascii="Arial" w:hAnsi="Arial" w:cs="Arial"/>
          <w:b/>
          <w:u w:val="single"/>
        </w:rPr>
      </w:pPr>
      <w:r w:rsidRPr="006B2006">
        <w:rPr>
          <w:rFonts w:ascii="Arial" w:hAnsi="Arial" w:cs="Arial"/>
          <w:b/>
          <w:u w:val="single"/>
        </w:rPr>
        <w:t>How will my submission be evaluated?</w:t>
      </w:r>
    </w:p>
    <w:p w14:paraId="29D1CFC3" w14:textId="58D43008" w:rsidR="004E6DEA" w:rsidRPr="004E6DEA" w:rsidRDefault="006B2006" w:rsidP="00671500">
      <w:pPr>
        <w:jc w:val="both"/>
        <w:rPr>
          <w:rFonts w:ascii="Arial" w:hAnsi="Arial" w:cs="Arial"/>
          <w:bCs/>
        </w:rPr>
      </w:pPr>
      <w:r>
        <w:rPr>
          <w:rFonts w:ascii="Arial" w:hAnsi="Arial" w:cs="Arial"/>
          <w:bCs/>
        </w:rPr>
        <w:t xml:space="preserve">Responses will be evaluated individually on a </w:t>
      </w:r>
      <w:r w:rsidR="005D39D7">
        <w:rPr>
          <w:rFonts w:ascii="Arial" w:hAnsi="Arial" w:cs="Arial"/>
          <w:bCs/>
        </w:rPr>
        <w:t>case by case basis Where we have questions, we will come back to you to seek clarification</w:t>
      </w:r>
      <w:r>
        <w:rPr>
          <w:rFonts w:ascii="Arial" w:hAnsi="Arial" w:cs="Arial"/>
          <w:bCs/>
        </w:rPr>
        <w:t>.</w:t>
      </w:r>
      <w:r w:rsidR="005D39D7">
        <w:rPr>
          <w:rFonts w:ascii="Arial" w:hAnsi="Arial" w:cs="Arial"/>
          <w:bCs/>
        </w:rPr>
        <w:t xml:space="preserve"> We do want to move quickly to enable you to move forward with your response. </w:t>
      </w:r>
      <w:r w:rsidR="004E6DEA" w:rsidRPr="004E6DEA">
        <w:rPr>
          <w:rFonts w:ascii="Arial" w:hAnsi="Arial" w:cs="Arial"/>
          <w:bCs/>
        </w:rPr>
        <w:t xml:space="preserve"> </w:t>
      </w:r>
    </w:p>
    <w:p w14:paraId="44EF79EF" w14:textId="14910B7F" w:rsidR="00762556" w:rsidRDefault="00762556" w:rsidP="00671500">
      <w:pPr>
        <w:jc w:val="both"/>
        <w:rPr>
          <w:rFonts w:ascii="Arial" w:hAnsi="Arial" w:cs="Arial"/>
          <w:b/>
          <w:u w:val="single"/>
        </w:rPr>
      </w:pPr>
      <w:r>
        <w:rPr>
          <w:rFonts w:ascii="Arial" w:hAnsi="Arial" w:cs="Arial"/>
          <w:b/>
          <w:u w:val="single"/>
        </w:rPr>
        <w:t>Why can’t ITP’s deliver Education for Well-Being?</w:t>
      </w:r>
    </w:p>
    <w:p w14:paraId="1B72B9DE" w14:textId="1B33BBD4" w:rsidR="00762556" w:rsidRPr="00762556" w:rsidRDefault="00762556" w:rsidP="00671500">
      <w:pPr>
        <w:jc w:val="both"/>
        <w:rPr>
          <w:rFonts w:ascii="Arial" w:hAnsi="Arial" w:cs="Arial"/>
          <w:bCs/>
        </w:rPr>
      </w:pPr>
      <w:r w:rsidRPr="00762556">
        <w:rPr>
          <w:rFonts w:ascii="Arial" w:hAnsi="Arial" w:cs="Arial"/>
          <w:bCs/>
        </w:rPr>
        <w:t>The WMCA is keen to maintain community learning amongst its community learning provider base</w:t>
      </w:r>
      <w:r w:rsidR="004E6DEA">
        <w:rPr>
          <w:rFonts w:ascii="Arial" w:hAnsi="Arial" w:cs="Arial"/>
          <w:bCs/>
        </w:rPr>
        <w:t>, and p</w:t>
      </w:r>
      <w:r>
        <w:rPr>
          <w:rFonts w:ascii="Arial" w:hAnsi="Arial" w:cs="Arial"/>
          <w:bCs/>
        </w:rPr>
        <w:t xml:space="preserve">ersonalised health and well-being fits within the ethos of </w:t>
      </w:r>
      <w:r w:rsidR="004E6DEA">
        <w:rPr>
          <w:rFonts w:ascii="Arial" w:hAnsi="Arial" w:cs="Arial"/>
          <w:bCs/>
        </w:rPr>
        <w:t>community learning and we’re not wanting to displace this activity with the wider provider base</w:t>
      </w:r>
      <w:r>
        <w:rPr>
          <w:rFonts w:ascii="Arial" w:hAnsi="Arial" w:cs="Arial"/>
          <w:bCs/>
        </w:rPr>
        <w:t xml:space="preserve">. </w:t>
      </w:r>
    </w:p>
    <w:p w14:paraId="29D5073E" w14:textId="77777777" w:rsidR="00172CEC" w:rsidRPr="00172CEC" w:rsidRDefault="00172CEC" w:rsidP="00671500">
      <w:pPr>
        <w:jc w:val="both"/>
        <w:rPr>
          <w:rFonts w:ascii="Arial" w:hAnsi="Arial" w:cs="Arial"/>
          <w:b/>
          <w:u w:val="single"/>
        </w:rPr>
      </w:pPr>
      <w:r w:rsidRPr="00172CEC">
        <w:rPr>
          <w:rFonts w:ascii="Arial" w:hAnsi="Arial" w:cs="Arial"/>
          <w:b/>
          <w:u w:val="single"/>
        </w:rPr>
        <w:t>Should I stop what I’m doing in terms of my current delivery plan?</w:t>
      </w:r>
    </w:p>
    <w:p w14:paraId="6C83A971" w14:textId="7A739D0B" w:rsidR="00172CEC" w:rsidRDefault="00172CEC" w:rsidP="00671500">
      <w:pPr>
        <w:jc w:val="both"/>
        <w:rPr>
          <w:rFonts w:ascii="Arial" w:hAnsi="Arial" w:cs="Arial"/>
          <w:bCs/>
        </w:rPr>
      </w:pPr>
      <w:r>
        <w:rPr>
          <w:rFonts w:ascii="Arial" w:hAnsi="Arial" w:cs="Arial"/>
          <w:bCs/>
        </w:rPr>
        <w:t xml:space="preserve">No. Please continue delivering your agreed plan. However, we appreciate that due to COVID-19 you may be experiencing recruitment issues that will in turn create headroom in your </w:t>
      </w:r>
      <w:r w:rsidR="00201B34">
        <w:rPr>
          <w:rFonts w:ascii="Arial" w:hAnsi="Arial" w:cs="Arial"/>
          <w:bCs/>
        </w:rPr>
        <w:t xml:space="preserve">agreements </w:t>
      </w:r>
      <w:r>
        <w:rPr>
          <w:rFonts w:ascii="Arial" w:hAnsi="Arial" w:cs="Arial"/>
          <w:bCs/>
        </w:rPr>
        <w:t xml:space="preserve">for you to deliver COVID-19 response provision.  </w:t>
      </w:r>
    </w:p>
    <w:p w14:paraId="499E34FC" w14:textId="35A1B0FE" w:rsidR="00110FD7" w:rsidRPr="00110FD7" w:rsidRDefault="00110FD7" w:rsidP="00671500">
      <w:pPr>
        <w:jc w:val="both"/>
        <w:rPr>
          <w:rFonts w:ascii="Arial" w:hAnsi="Arial" w:cs="Arial"/>
          <w:b/>
          <w:u w:val="single"/>
        </w:rPr>
      </w:pPr>
      <w:r w:rsidRPr="00110FD7">
        <w:rPr>
          <w:rFonts w:ascii="Arial" w:hAnsi="Arial" w:cs="Arial"/>
          <w:b/>
          <w:u w:val="single"/>
        </w:rPr>
        <w:t>Is this an opportunity for growth funding?</w:t>
      </w:r>
    </w:p>
    <w:p w14:paraId="0CE812AD" w14:textId="7FCCFA74" w:rsidR="00110FD7" w:rsidRDefault="00110FD7" w:rsidP="00671500">
      <w:pPr>
        <w:jc w:val="both"/>
        <w:rPr>
          <w:rFonts w:ascii="Arial" w:hAnsi="Arial" w:cs="Arial"/>
          <w:bCs/>
        </w:rPr>
      </w:pPr>
      <w:r w:rsidRPr="00110FD7">
        <w:rPr>
          <w:rFonts w:ascii="Arial" w:hAnsi="Arial" w:cs="Arial"/>
          <w:bCs/>
        </w:rPr>
        <w:t>No. At this moment in time provider</w:t>
      </w:r>
      <w:r>
        <w:rPr>
          <w:rFonts w:ascii="Arial" w:hAnsi="Arial" w:cs="Arial"/>
          <w:bCs/>
        </w:rPr>
        <w:t>s</w:t>
      </w:r>
      <w:r w:rsidRPr="00110FD7">
        <w:rPr>
          <w:rFonts w:ascii="Arial" w:hAnsi="Arial" w:cs="Arial"/>
          <w:bCs/>
        </w:rPr>
        <w:t xml:space="preserve"> may be experiencing issues in delivering their current delivery plan</w:t>
      </w:r>
      <w:r>
        <w:rPr>
          <w:rFonts w:ascii="Arial" w:hAnsi="Arial" w:cs="Arial"/>
          <w:bCs/>
        </w:rPr>
        <w:t>.</w:t>
      </w:r>
      <w:r w:rsidR="00201B34">
        <w:rPr>
          <w:rFonts w:ascii="Arial" w:hAnsi="Arial" w:cs="Arial"/>
          <w:bCs/>
        </w:rPr>
        <w:t xml:space="preserve"> For ITP’s we </w:t>
      </w:r>
      <w:r>
        <w:rPr>
          <w:rFonts w:ascii="Arial" w:hAnsi="Arial" w:cs="Arial"/>
          <w:bCs/>
        </w:rPr>
        <w:t>are pausing the performance management point 2 to enable providers to establish this</w:t>
      </w:r>
      <w:r w:rsidR="00201B34">
        <w:rPr>
          <w:rFonts w:ascii="Arial" w:hAnsi="Arial" w:cs="Arial"/>
          <w:bCs/>
        </w:rPr>
        <w:t xml:space="preserve"> offer</w:t>
      </w:r>
      <w:r>
        <w:rPr>
          <w:rFonts w:ascii="Arial" w:hAnsi="Arial" w:cs="Arial"/>
          <w:bCs/>
        </w:rPr>
        <w:t>.</w:t>
      </w:r>
      <w:r w:rsidR="00172CEC">
        <w:rPr>
          <w:rFonts w:ascii="Arial" w:hAnsi="Arial" w:cs="Arial"/>
          <w:bCs/>
        </w:rPr>
        <w:t xml:space="preserve"> Through the relaxations we are providing, we expect providers to act responsibly and in the spirit of what we are trying to achieve. </w:t>
      </w:r>
      <w:r w:rsidR="00201B34">
        <w:rPr>
          <w:rFonts w:ascii="Arial" w:hAnsi="Arial" w:cs="Arial"/>
          <w:bCs/>
        </w:rPr>
        <w:t xml:space="preserve">Therefore, it’s important to set out a clear need to support the intent in your offer. </w:t>
      </w:r>
    </w:p>
    <w:p w14:paraId="5D5A8D64" w14:textId="48BB5D41" w:rsidR="00110FD7" w:rsidRPr="00110FD7" w:rsidRDefault="00110FD7" w:rsidP="00671500">
      <w:pPr>
        <w:jc w:val="both"/>
        <w:rPr>
          <w:rFonts w:ascii="Arial" w:hAnsi="Arial" w:cs="Arial"/>
          <w:b/>
          <w:u w:val="single"/>
        </w:rPr>
      </w:pPr>
      <w:r w:rsidRPr="00110FD7">
        <w:rPr>
          <w:rFonts w:ascii="Arial" w:hAnsi="Arial" w:cs="Arial"/>
          <w:b/>
          <w:u w:val="single"/>
        </w:rPr>
        <w:t>Does this apply to sub-contractors?</w:t>
      </w:r>
    </w:p>
    <w:p w14:paraId="441F4338" w14:textId="00F79B4D" w:rsidR="00110FD7" w:rsidRPr="00110FD7" w:rsidRDefault="00E67AB0" w:rsidP="00671500">
      <w:pPr>
        <w:jc w:val="both"/>
        <w:rPr>
          <w:rFonts w:ascii="Arial" w:hAnsi="Arial" w:cs="Arial"/>
          <w:bCs/>
        </w:rPr>
      </w:pPr>
      <w:r>
        <w:rPr>
          <w:rFonts w:ascii="Arial" w:hAnsi="Arial" w:cs="Arial"/>
          <w:bCs/>
        </w:rPr>
        <w:t>Yes,</w:t>
      </w:r>
      <w:r w:rsidR="00110FD7">
        <w:rPr>
          <w:rFonts w:ascii="Arial" w:hAnsi="Arial" w:cs="Arial"/>
          <w:bCs/>
        </w:rPr>
        <w:t xml:space="preserve"> </w:t>
      </w:r>
      <w:r>
        <w:rPr>
          <w:rFonts w:ascii="Arial" w:hAnsi="Arial" w:cs="Arial"/>
          <w:bCs/>
        </w:rPr>
        <w:t xml:space="preserve">for current declared approved </w:t>
      </w:r>
      <w:r w:rsidR="00110FD7">
        <w:rPr>
          <w:rFonts w:ascii="Arial" w:hAnsi="Arial" w:cs="Arial"/>
          <w:bCs/>
        </w:rPr>
        <w:t xml:space="preserve">sub-contractors. Contract holders must ensure that the sub-contractor has the on-line presence </w:t>
      </w:r>
      <w:r w:rsidR="00172CEC">
        <w:rPr>
          <w:rFonts w:ascii="Arial" w:hAnsi="Arial" w:cs="Arial"/>
          <w:bCs/>
        </w:rPr>
        <w:t xml:space="preserve">and capability to deliver the offer. </w:t>
      </w:r>
      <w:r w:rsidR="000E1C38">
        <w:rPr>
          <w:rFonts w:ascii="Arial" w:hAnsi="Arial" w:cs="Arial"/>
          <w:bCs/>
        </w:rPr>
        <w:t xml:space="preserve">This will not be available to any sub-contractors who </w:t>
      </w:r>
      <w:r w:rsidR="007E4C1B">
        <w:rPr>
          <w:rFonts w:ascii="Arial" w:hAnsi="Arial" w:cs="Arial"/>
          <w:bCs/>
        </w:rPr>
        <w:t xml:space="preserve">may be part of a supply chain who have an Ofsted 4, or have had a monitor visit related to Adult Skills and have been found to be making insufficient progress. </w:t>
      </w:r>
    </w:p>
    <w:p w14:paraId="0495C5C3" w14:textId="5758DD07" w:rsidR="00E67AB0" w:rsidRDefault="00E67AB0" w:rsidP="00671500">
      <w:pPr>
        <w:jc w:val="both"/>
        <w:rPr>
          <w:rFonts w:ascii="Arial" w:hAnsi="Arial" w:cs="Arial"/>
          <w:b/>
          <w:u w:val="single"/>
        </w:rPr>
      </w:pPr>
      <w:r>
        <w:rPr>
          <w:rFonts w:ascii="Arial" w:hAnsi="Arial" w:cs="Arial"/>
          <w:b/>
          <w:u w:val="single"/>
        </w:rPr>
        <w:t>Do I have to deliver this?</w:t>
      </w:r>
    </w:p>
    <w:p w14:paraId="24060713" w14:textId="70160F2B" w:rsidR="00DD5633" w:rsidRPr="00E67AB0" w:rsidRDefault="00E67AB0" w:rsidP="00671500">
      <w:pPr>
        <w:jc w:val="both"/>
        <w:rPr>
          <w:rFonts w:ascii="Arial" w:hAnsi="Arial" w:cs="Arial"/>
          <w:bCs/>
        </w:rPr>
      </w:pPr>
      <w:r w:rsidRPr="00E67AB0">
        <w:rPr>
          <w:rFonts w:ascii="Arial" w:hAnsi="Arial" w:cs="Arial"/>
          <w:bCs/>
        </w:rPr>
        <w:t xml:space="preserve">No. It’s up to the provider to decide if they wish to establish an COVID-19 </w:t>
      </w:r>
      <w:r>
        <w:rPr>
          <w:rFonts w:ascii="Arial" w:hAnsi="Arial" w:cs="Arial"/>
          <w:bCs/>
        </w:rPr>
        <w:t xml:space="preserve">response </w:t>
      </w:r>
      <w:r w:rsidRPr="00E67AB0">
        <w:rPr>
          <w:rFonts w:ascii="Arial" w:hAnsi="Arial" w:cs="Arial"/>
          <w:bCs/>
        </w:rPr>
        <w:t>offer</w:t>
      </w:r>
      <w:r>
        <w:rPr>
          <w:rFonts w:ascii="Arial" w:hAnsi="Arial" w:cs="Arial"/>
          <w:bCs/>
        </w:rPr>
        <w:t>.</w:t>
      </w:r>
      <w:r w:rsidR="00762556">
        <w:rPr>
          <w:rFonts w:ascii="Arial" w:hAnsi="Arial" w:cs="Arial"/>
          <w:bCs/>
        </w:rPr>
        <w:t xml:space="preserve"> We do appreciate that due to COVID-19 you may be experiencing recruitment issues that will in turn create headroom in your agreements for you to deliver COVID-19 response provision</w:t>
      </w:r>
    </w:p>
    <w:p w14:paraId="1DDF5A92" w14:textId="4B0EB412" w:rsidR="00E67AB0" w:rsidRDefault="00E67AB0" w:rsidP="00671500">
      <w:pPr>
        <w:jc w:val="both"/>
        <w:rPr>
          <w:rFonts w:ascii="Arial" w:hAnsi="Arial" w:cs="Arial"/>
          <w:b/>
          <w:u w:val="single"/>
        </w:rPr>
      </w:pPr>
      <w:r>
        <w:rPr>
          <w:rFonts w:ascii="Arial" w:hAnsi="Arial" w:cs="Arial"/>
          <w:b/>
          <w:u w:val="single"/>
        </w:rPr>
        <w:t>What are the timelines?</w:t>
      </w:r>
    </w:p>
    <w:p w14:paraId="264FF652" w14:textId="2052D6EE" w:rsidR="00E67AB0" w:rsidRPr="00E67AB0" w:rsidRDefault="00E67AB0" w:rsidP="00671500">
      <w:pPr>
        <w:jc w:val="both"/>
        <w:rPr>
          <w:rFonts w:ascii="Arial" w:hAnsi="Arial" w:cs="Arial"/>
          <w:bCs/>
        </w:rPr>
      </w:pPr>
      <w:r w:rsidRPr="00E67AB0">
        <w:rPr>
          <w:rFonts w:ascii="Arial" w:hAnsi="Arial" w:cs="Arial"/>
          <w:bCs/>
        </w:rPr>
        <w:t>We are asking that providers submit th</w:t>
      </w:r>
      <w:r>
        <w:rPr>
          <w:rFonts w:ascii="Arial" w:hAnsi="Arial" w:cs="Arial"/>
          <w:bCs/>
        </w:rPr>
        <w:t xml:space="preserve">eir </w:t>
      </w:r>
      <w:r w:rsidRPr="00E67AB0">
        <w:rPr>
          <w:rFonts w:ascii="Arial" w:hAnsi="Arial" w:cs="Arial"/>
          <w:bCs/>
        </w:rPr>
        <w:t>responses by the 1</w:t>
      </w:r>
      <w:r w:rsidR="000156E1">
        <w:rPr>
          <w:rFonts w:ascii="Arial" w:hAnsi="Arial" w:cs="Arial"/>
          <w:bCs/>
        </w:rPr>
        <w:t>3</w:t>
      </w:r>
      <w:r w:rsidRPr="00E67AB0">
        <w:rPr>
          <w:rFonts w:ascii="Arial" w:hAnsi="Arial" w:cs="Arial"/>
          <w:bCs/>
          <w:vertAlign w:val="superscript"/>
        </w:rPr>
        <w:t>th</w:t>
      </w:r>
      <w:r w:rsidRPr="00E67AB0">
        <w:rPr>
          <w:rFonts w:ascii="Arial" w:hAnsi="Arial" w:cs="Arial"/>
          <w:bCs/>
        </w:rPr>
        <w:t xml:space="preserve"> April 2020</w:t>
      </w:r>
      <w:r w:rsidR="000156E1">
        <w:rPr>
          <w:rFonts w:ascii="Arial" w:hAnsi="Arial" w:cs="Arial"/>
          <w:bCs/>
        </w:rPr>
        <w:t xml:space="preserve"> in the instance. We appreciate in this fast-moving situation providers may wish to submit further requests and we will accept these through your nominated compliance officer</w:t>
      </w:r>
      <w:r w:rsidRPr="00E67AB0">
        <w:rPr>
          <w:rFonts w:ascii="Arial" w:hAnsi="Arial" w:cs="Arial"/>
          <w:bCs/>
        </w:rPr>
        <w:t>.</w:t>
      </w:r>
      <w:r>
        <w:rPr>
          <w:rFonts w:ascii="Arial" w:hAnsi="Arial" w:cs="Arial"/>
          <w:bCs/>
        </w:rPr>
        <w:t xml:space="preserve"> </w:t>
      </w:r>
      <w:r w:rsidR="00244F99">
        <w:rPr>
          <w:rFonts w:ascii="Arial" w:hAnsi="Arial" w:cs="Arial"/>
          <w:bCs/>
        </w:rPr>
        <w:t xml:space="preserve">Providers can submit responses earlier and we will seek to respond as quickly as possible. </w:t>
      </w:r>
      <w:r>
        <w:rPr>
          <w:rFonts w:ascii="Arial" w:hAnsi="Arial" w:cs="Arial"/>
          <w:bCs/>
        </w:rPr>
        <w:t xml:space="preserve">COVID-19 Response is a </w:t>
      </w:r>
      <w:r w:rsidR="009A2B9A">
        <w:rPr>
          <w:rFonts w:ascii="Arial" w:hAnsi="Arial" w:cs="Arial"/>
          <w:bCs/>
        </w:rPr>
        <w:t>short-term</w:t>
      </w:r>
      <w:r>
        <w:rPr>
          <w:rFonts w:ascii="Arial" w:hAnsi="Arial" w:cs="Arial"/>
          <w:bCs/>
        </w:rPr>
        <w:t xml:space="preserve"> offer and is limited to the April to June period. We will review </w:t>
      </w:r>
      <w:r w:rsidR="00244F99">
        <w:rPr>
          <w:rFonts w:ascii="Arial" w:hAnsi="Arial" w:cs="Arial"/>
          <w:bCs/>
        </w:rPr>
        <w:t>the position to extend beyond June based on government COVID-19 advice.</w:t>
      </w:r>
    </w:p>
    <w:p w14:paraId="7C890FD5" w14:textId="26D46DAE" w:rsidR="004E2BC0" w:rsidRDefault="003B5CC7" w:rsidP="00671500">
      <w:pPr>
        <w:jc w:val="both"/>
        <w:rPr>
          <w:rFonts w:ascii="Arial" w:hAnsi="Arial" w:cs="Arial"/>
          <w:b/>
          <w:u w:val="single"/>
        </w:rPr>
      </w:pPr>
      <w:r>
        <w:rPr>
          <w:rFonts w:ascii="Arial" w:hAnsi="Arial" w:cs="Arial"/>
          <w:b/>
          <w:u w:val="single"/>
        </w:rPr>
        <w:t>How will the WMCA know that I’m delivering COVID-19 response?</w:t>
      </w:r>
    </w:p>
    <w:p w14:paraId="4CB31B23" w14:textId="0E86D6D1" w:rsidR="004E2BC0" w:rsidRDefault="003B5CC7" w:rsidP="00671500">
      <w:pPr>
        <w:jc w:val="both"/>
        <w:rPr>
          <w:rFonts w:ascii="Arial" w:hAnsi="Arial" w:cs="Arial"/>
          <w:bCs/>
        </w:rPr>
      </w:pPr>
      <w:r w:rsidRPr="003B5CC7">
        <w:rPr>
          <w:rFonts w:ascii="Arial" w:hAnsi="Arial" w:cs="Arial"/>
          <w:bCs/>
        </w:rPr>
        <w:t xml:space="preserve">We will provide DAM code to enable you to flag learners as COVID-19 beneficiaries. </w:t>
      </w:r>
    </w:p>
    <w:p w14:paraId="65EBD502" w14:textId="235799B3" w:rsidR="00762556" w:rsidRDefault="00762556">
      <w:pPr>
        <w:rPr>
          <w:rFonts w:ascii="Arial" w:hAnsi="Arial" w:cs="Arial"/>
          <w:bCs/>
        </w:rPr>
      </w:pPr>
    </w:p>
    <w:p w14:paraId="72B0380C" w14:textId="77777777" w:rsidR="00762556" w:rsidRPr="0032151B" w:rsidRDefault="00762556">
      <w:pPr>
        <w:rPr>
          <w:rFonts w:ascii="Arial" w:hAnsi="Arial" w:cs="Arial"/>
          <w:bCs/>
        </w:rPr>
      </w:pPr>
    </w:p>
    <w:sectPr w:rsidR="00762556" w:rsidRPr="0032151B" w:rsidSect="0032151B">
      <w:headerReference w:type="default" r:id="rId12"/>
      <w:pgSz w:w="11906" w:h="16838"/>
      <w:pgMar w:top="1090" w:right="1440" w:bottom="108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756A" w14:textId="77777777" w:rsidR="00F3151E" w:rsidRDefault="00F3151E" w:rsidP="008A773E">
      <w:pPr>
        <w:spacing w:after="0" w:line="240" w:lineRule="auto"/>
      </w:pPr>
      <w:r>
        <w:separator/>
      </w:r>
    </w:p>
  </w:endnote>
  <w:endnote w:type="continuationSeparator" w:id="0">
    <w:p w14:paraId="2EEA1B18" w14:textId="77777777" w:rsidR="00F3151E" w:rsidRDefault="00F3151E" w:rsidP="008A7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1817F" w14:textId="77777777" w:rsidR="00F3151E" w:rsidRDefault="00F3151E" w:rsidP="008A773E">
      <w:pPr>
        <w:spacing w:after="0" w:line="240" w:lineRule="auto"/>
      </w:pPr>
      <w:r>
        <w:separator/>
      </w:r>
    </w:p>
  </w:footnote>
  <w:footnote w:type="continuationSeparator" w:id="0">
    <w:p w14:paraId="10C0ADCB" w14:textId="77777777" w:rsidR="00F3151E" w:rsidRDefault="00F3151E" w:rsidP="008A7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2466" w14:textId="3E76F759" w:rsidR="00E67AB0" w:rsidRDefault="00E67AB0" w:rsidP="008A773E">
    <w:pPr>
      <w:pStyle w:val="Header"/>
      <w:rPr>
        <w:b/>
      </w:rPr>
    </w:pPr>
    <w:r>
      <w:rPr>
        <w:noProof/>
        <w:lang w:eastAsia="en-GB"/>
      </w:rPr>
      <w:drawing>
        <wp:inline distT="0" distB="0" distL="0" distR="0" wp14:anchorId="14C82468" wp14:editId="14C82469">
          <wp:extent cx="2414548" cy="82232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548" cy="822323"/>
                  </a:xfrm>
                  <a:prstGeom prst="rect">
                    <a:avLst/>
                  </a:prstGeom>
                  <a:noFill/>
                </pic:spPr>
              </pic:pic>
            </a:graphicData>
          </a:graphic>
        </wp:inline>
      </w:drawing>
    </w:r>
    <w:r>
      <w:rPr>
        <w:b/>
      </w:rPr>
      <w:t xml:space="preserve"> </w:t>
    </w:r>
    <w:r>
      <w:rPr>
        <w:b/>
      </w:rPr>
      <w:tab/>
    </w:r>
    <w:r>
      <w:rPr>
        <w:b/>
      </w:rPr>
      <w:tab/>
      <w:t xml:space="preserve">    </w:t>
    </w:r>
  </w:p>
  <w:p w14:paraId="14C82467" w14:textId="77777777" w:rsidR="00E67AB0" w:rsidRDefault="00E67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60D"/>
    <w:multiLevelType w:val="hybridMultilevel"/>
    <w:tmpl w:val="F602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85157"/>
    <w:multiLevelType w:val="hybridMultilevel"/>
    <w:tmpl w:val="5CBE3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150EE"/>
    <w:multiLevelType w:val="hybridMultilevel"/>
    <w:tmpl w:val="003A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E64"/>
    <w:multiLevelType w:val="hybridMultilevel"/>
    <w:tmpl w:val="97622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82465"/>
    <w:multiLevelType w:val="hybridMultilevel"/>
    <w:tmpl w:val="E6D2C4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9A562F"/>
    <w:multiLevelType w:val="hybridMultilevel"/>
    <w:tmpl w:val="13DC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D5D81"/>
    <w:multiLevelType w:val="hybridMultilevel"/>
    <w:tmpl w:val="C7DE3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06411E"/>
    <w:multiLevelType w:val="hybridMultilevel"/>
    <w:tmpl w:val="CDAE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4430F"/>
    <w:multiLevelType w:val="multilevel"/>
    <w:tmpl w:val="97FA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4874CA"/>
    <w:multiLevelType w:val="multilevel"/>
    <w:tmpl w:val="6D1C3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D43A38"/>
    <w:multiLevelType w:val="hybridMultilevel"/>
    <w:tmpl w:val="800C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37FC8"/>
    <w:multiLevelType w:val="hybridMultilevel"/>
    <w:tmpl w:val="D0D0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B3936"/>
    <w:multiLevelType w:val="hybridMultilevel"/>
    <w:tmpl w:val="335A6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2101BE"/>
    <w:multiLevelType w:val="hybridMultilevel"/>
    <w:tmpl w:val="E808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91DA1"/>
    <w:multiLevelType w:val="hybridMultilevel"/>
    <w:tmpl w:val="D9F2D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196E06"/>
    <w:multiLevelType w:val="hybridMultilevel"/>
    <w:tmpl w:val="4C62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1183"/>
    <w:multiLevelType w:val="hybridMultilevel"/>
    <w:tmpl w:val="E8EE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67719"/>
    <w:multiLevelType w:val="hybridMultilevel"/>
    <w:tmpl w:val="E7E4D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0104B3"/>
    <w:multiLevelType w:val="multilevel"/>
    <w:tmpl w:val="EC3ECC0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033E06"/>
    <w:multiLevelType w:val="hybridMultilevel"/>
    <w:tmpl w:val="EDF8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72DB7"/>
    <w:multiLevelType w:val="hybridMultilevel"/>
    <w:tmpl w:val="DD82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17C44"/>
    <w:multiLevelType w:val="hybridMultilevel"/>
    <w:tmpl w:val="327E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A3746"/>
    <w:multiLevelType w:val="hybridMultilevel"/>
    <w:tmpl w:val="17CE7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253F8"/>
    <w:multiLevelType w:val="hybridMultilevel"/>
    <w:tmpl w:val="D83E51F8"/>
    <w:lvl w:ilvl="0" w:tplc="86FCE6F4">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B0E7AB6"/>
    <w:multiLevelType w:val="hybridMultilevel"/>
    <w:tmpl w:val="F8BC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E2EB4"/>
    <w:multiLevelType w:val="hybridMultilevel"/>
    <w:tmpl w:val="C896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304B92"/>
    <w:multiLevelType w:val="multilevel"/>
    <w:tmpl w:val="0A90A4F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A6B4EA2"/>
    <w:multiLevelType w:val="multilevel"/>
    <w:tmpl w:val="C38422C0"/>
    <w:lvl w:ilvl="0">
      <w:start w:val="1"/>
      <w:numFmt w:val="decimal"/>
      <w:lvlText w:val="%1."/>
      <w:lvlJc w:val="left"/>
      <w:pPr>
        <w:ind w:left="720" w:hanging="360"/>
      </w:pPr>
      <w:rPr>
        <w:rFonts w:asciiTheme="minorHAnsi" w:hAnsiTheme="minorHAnsi" w:cs="Arial" w:hint="default"/>
        <w:b/>
        <w:i w:val="0"/>
        <w:sz w:val="24"/>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AC75BA"/>
    <w:multiLevelType w:val="hybridMultilevel"/>
    <w:tmpl w:val="75A8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84C3A"/>
    <w:multiLevelType w:val="hybridMultilevel"/>
    <w:tmpl w:val="B60E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C2E96"/>
    <w:multiLevelType w:val="hybridMultilevel"/>
    <w:tmpl w:val="B3E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9A7310"/>
    <w:multiLevelType w:val="hybridMultilevel"/>
    <w:tmpl w:val="1548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439CE"/>
    <w:multiLevelType w:val="multilevel"/>
    <w:tmpl w:val="C7B620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16039F"/>
    <w:multiLevelType w:val="hybridMultilevel"/>
    <w:tmpl w:val="3B40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905E9"/>
    <w:multiLevelType w:val="multilevel"/>
    <w:tmpl w:val="CAF4A9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2"/>
  </w:num>
  <w:num w:numId="3">
    <w:abstractNumId w:val="7"/>
  </w:num>
  <w:num w:numId="4">
    <w:abstractNumId w:val="10"/>
  </w:num>
  <w:num w:numId="5">
    <w:abstractNumId w:val="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8"/>
  </w:num>
  <w:num w:numId="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6"/>
  </w:num>
  <w:num w:numId="12">
    <w:abstractNumId w:val="9"/>
  </w:num>
  <w:num w:numId="13">
    <w:abstractNumId w:val="14"/>
  </w:num>
  <w:num w:numId="14">
    <w:abstractNumId w:val="8"/>
  </w:num>
  <w:num w:numId="15">
    <w:abstractNumId w:val="1"/>
  </w:num>
  <w:num w:numId="16">
    <w:abstractNumId w:val="34"/>
  </w:num>
  <w:num w:numId="17">
    <w:abstractNumId w:val="27"/>
  </w:num>
  <w:num w:numId="18">
    <w:abstractNumId w:val="15"/>
  </w:num>
  <w:num w:numId="19">
    <w:abstractNumId w:val="25"/>
  </w:num>
  <w:num w:numId="20">
    <w:abstractNumId w:val="16"/>
  </w:num>
  <w:num w:numId="21">
    <w:abstractNumId w:val="11"/>
  </w:num>
  <w:num w:numId="22">
    <w:abstractNumId w:val="30"/>
  </w:num>
  <w:num w:numId="23">
    <w:abstractNumId w:val="32"/>
  </w:num>
  <w:num w:numId="24">
    <w:abstractNumId w:val="31"/>
  </w:num>
  <w:num w:numId="25">
    <w:abstractNumId w:val="22"/>
  </w:num>
  <w:num w:numId="26">
    <w:abstractNumId w:val="24"/>
  </w:num>
  <w:num w:numId="27">
    <w:abstractNumId w:val="6"/>
  </w:num>
  <w:num w:numId="28">
    <w:abstractNumId w:val="16"/>
  </w:num>
  <w:num w:numId="29">
    <w:abstractNumId w:val="16"/>
  </w:num>
  <w:num w:numId="30">
    <w:abstractNumId w:val="33"/>
  </w:num>
  <w:num w:numId="31">
    <w:abstractNumId w:val="29"/>
  </w:num>
  <w:num w:numId="32">
    <w:abstractNumId w:val="21"/>
  </w:num>
  <w:num w:numId="33">
    <w:abstractNumId w:val="20"/>
  </w:num>
  <w:num w:numId="34">
    <w:abstractNumId w:val="0"/>
  </w:num>
  <w:num w:numId="35">
    <w:abstractNumId w:val="19"/>
  </w:num>
  <w:num w:numId="36">
    <w:abstractNumId w:val="1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F79"/>
    <w:rsid w:val="000156E1"/>
    <w:rsid w:val="00050BA3"/>
    <w:rsid w:val="000533E4"/>
    <w:rsid w:val="00060BC9"/>
    <w:rsid w:val="00064EFF"/>
    <w:rsid w:val="00076C9C"/>
    <w:rsid w:val="000953C6"/>
    <w:rsid w:val="00096EB9"/>
    <w:rsid w:val="000D7C6B"/>
    <w:rsid w:val="000E1C38"/>
    <w:rsid w:val="000E210C"/>
    <w:rsid w:val="001109AE"/>
    <w:rsid w:val="00110FD7"/>
    <w:rsid w:val="001277F3"/>
    <w:rsid w:val="001368AD"/>
    <w:rsid w:val="00146BCD"/>
    <w:rsid w:val="00172CEC"/>
    <w:rsid w:val="00180048"/>
    <w:rsid w:val="00182676"/>
    <w:rsid w:val="001A4D2F"/>
    <w:rsid w:val="001C1365"/>
    <w:rsid w:val="001C1F2A"/>
    <w:rsid w:val="001D5132"/>
    <w:rsid w:val="001E50E4"/>
    <w:rsid w:val="00201B34"/>
    <w:rsid w:val="0020490E"/>
    <w:rsid w:val="0021743F"/>
    <w:rsid w:val="002272AC"/>
    <w:rsid w:val="002315D1"/>
    <w:rsid w:val="00244F99"/>
    <w:rsid w:val="00270105"/>
    <w:rsid w:val="0029024B"/>
    <w:rsid w:val="002A082F"/>
    <w:rsid w:val="002D2CDC"/>
    <w:rsid w:val="002D3885"/>
    <w:rsid w:val="002D6555"/>
    <w:rsid w:val="002E254C"/>
    <w:rsid w:val="002E2FE2"/>
    <w:rsid w:val="002F146F"/>
    <w:rsid w:val="002F565D"/>
    <w:rsid w:val="002F5C00"/>
    <w:rsid w:val="003201BD"/>
    <w:rsid w:val="0032151B"/>
    <w:rsid w:val="00324A65"/>
    <w:rsid w:val="00327DD4"/>
    <w:rsid w:val="003376A9"/>
    <w:rsid w:val="003909CC"/>
    <w:rsid w:val="003B5CC7"/>
    <w:rsid w:val="003C1F79"/>
    <w:rsid w:val="0041616D"/>
    <w:rsid w:val="004214BA"/>
    <w:rsid w:val="004443E4"/>
    <w:rsid w:val="004449E2"/>
    <w:rsid w:val="00447778"/>
    <w:rsid w:val="0045695A"/>
    <w:rsid w:val="00457DD6"/>
    <w:rsid w:val="00471E33"/>
    <w:rsid w:val="004721C9"/>
    <w:rsid w:val="00477FF5"/>
    <w:rsid w:val="004814FC"/>
    <w:rsid w:val="00491DA7"/>
    <w:rsid w:val="004D16E3"/>
    <w:rsid w:val="004D227C"/>
    <w:rsid w:val="004D5C6E"/>
    <w:rsid w:val="004D713B"/>
    <w:rsid w:val="004E2BC0"/>
    <w:rsid w:val="004E6DEA"/>
    <w:rsid w:val="00520F8C"/>
    <w:rsid w:val="00547DBB"/>
    <w:rsid w:val="00552BEE"/>
    <w:rsid w:val="00554DC1"/>
    <w:rsid w:val="00562C0C"/>
    <w:rsid w:val="00571D2A"/>
    <w:rsid w:val="00573391"/>
    <w:rsid w:val="005960AB"/>
    <w:rsid w:val="005A175F"/>
    <w:rsid w:val="005A7312"/>
    <w:rsid w:val="005C776A"/>
    <w:rsid w:val="005C793B"/>
    <w:rsid w:val="005D39D7"/>
    <w:rsid w:val="005F278D"/>
    <w:rsid w:val="005F5900"/>
    <w:rsid w:val="00604E6C"/>
    <w:rsid w:val="00621A8E"/>
    <w:rsid w:val="00641C58"/>
    <w:rsid w:val="0066387D"/>
    <w:rsid w:val="0066590B"/>
    <w:rsid w:val="006714BB"/>
    <w:rsid w:val="00671500"/>
    <w:rsid w:val="00674157"/>
    <w:rsid w:val="006745E5"/>
    <w:rsid w:val="00674617"/>
    <w:rsid w:val="00680560"/>
    <w:rsid w:val="006A1761"/>
    <w:rsid w:val="006B2006"/>
    <w:rsid w:val="006C7621"/>
    <w:rsid w:val="006C7926"/>
    <w:rsid w:val="006E214C"/>
    <w:rsid w:val="00705E35"/>
    <w:rsid w:val="00734CAB"/>
    <w:rsid w:val="00735459"/>
    <w:rsid w:val="00743BCA"/>
    <w:rsid w:val="00743F2A"/>
    <w:rsid w:val="00762556"/>
    <w:rsid w:val="007A3B62"/>
    <w:rsid w:val="007A70DB"/>
    <w:rsid w:val="007C3D2E"/>
    <w:rsid w:val="007C68B3"/>
    <w:rsid w:val="007E4C1B"/>
    <w:rsid w:val="007F2FD2"/>
    <w:rsid w:val="008002A7"/>
    <w:rsid w:val="008333B7"/>
    <w:rsid w:val="00833C08"/>
    <w:rsid w:val="0086619D"/>
    <w:rsid w:val="00874540"/>
    <w:rsid w:val="00875194"/>
    <w:rsid w:val="00896FDA"/>
    <w:rsid w:val="008A1A7C"/>
    <w:rsid w:val="008A3295"/>
    <w:rsid w:val="008A773E"/>
    <w:rsid w:val="008B4A27"/>
    <w:rsid w:val="008C02C1"/>
    <w:rsid w:val="008D1341"/>
    <w:rsid w:val="008E7531"/>
    <w:rsid w:val="0094160F"/>
    <w:rsid w:val="00946C9D"/>
    <w:rsid w:val="00972986"/>
    <w:rsid w:val="009830AC"/>
    <w:rsid w:val="009A23B9"/>
    <w:rsid w:val="009A2B9A"/>
    <w:rsid w:val="009B1BC2"/>
    <w:rsid w:val="009F4588"/>
    <w:rsid w:val="00A02A0E"/>
    <w:rsid w:val="00A2117D"/>
    <w:rsid w:val="00A44137"/>
    <w:rsid w:val="00A45A26"/>
    <w:rsid w:val="00A609AA"/>
    <w:rsid w:val="00A840C0"/>
    <w:rsid w:val="00AC070B"/>
    <w:rsid w:val="00AC6849"/>
    <w:rsid w:val="00AF4BC9"/>
    <w:rsid w:val="00B2042F"/>
    <w:rsid w:val="00B22D58"/>
    <w:rsid w:val="00B273B0"/>
    <w:rsid w:val="00B438FC"/>
    <w:rsid w:val="00B45479"/>
    <w:rsid w:val="00B6086D"/>
    <w:rsid w:val="00B60ABD"/>
    <w:rsid w:val="00BA0F17"/>
    <w:rsid w:val="00BA523C"/>
    <w:rsid w:val="00BF30DB"/>
    <w:rsid w:val="00C4095E"/>
    <w:rsid w:val="00C41905"/>
    <w:rsid w:val="00C439DE"/>
    <w:rsid w:val="00C46B8E"/>
    <w:rsid w:val="00C6012D"/>
    <w:rsid w:val="00C6500A"/>
    <w:rsid w:val="00C66D81"/>
    <w:rsid w:val="00CB0CD0"/>
    <w:rsid w:val="00CD1D44"/>
    <w:rsid w:val="00CF4120"/>
    <w:rsid w:val="00D22473"/>
    <w:rsid w:val="00D228AF"/>
    <w:rsid w:val="00D7451A"/>
    <w:rsid w:val="00D76FA1"/>
    <w:rsid w:val="00D91A81"/>
    <w:rsid w:val="00DD0849"/>
    <w:rsid w:val="00DD5633"/>
    <w:rsid w:val="00E12AC8"/>
    <w:rsid w:val="00E15E64"/>
    <w:rsid w:val="00E35A05"/>
    <w:rsid w:val="00E50101"/>
    <w:rsid w:val="00E67AB0"/>
    <w:rsid w:val="00E95C55"/>
    <w:rsid w:val="00EC1FB7"/>
    <w:rsid w:val="00ED6BDB"/>
    <w:rsid w:val="00EF21BF"/>
    <w:rsid w:val="00EF50A9"/>
    <w:rsid w:val="00F0500C"/>
    <w:rsid w:val="00F3151E"/>
    <w:rsid w:val="00F559E2"/>
    <w:rsid w:val="00F6540B"/>
    <w:rsid w:val="00F850E1"/>
    <w:rsid w:val="00FA1BAB"/>
    <w:rsid w:val="00FB18C7"/>
    <w:rsid w:val="00FE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23EF"/>
  <w15:chartTrackingRefBased/>
  <w15:docId w15:val="{480937CC-06A9-42A4-B570-01FC7AE8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Bullet Point,Bullet points,Content descriptions,Body Bullets 1,Bullet point,Main,CV text,Table text,F5 List Paragraph,Dot pt,List Paragraph111,Medium Grid 1 - Accent 21,Numbered Paragraph"/>
    <w:basedOn w:val="Normal"/>
    <w:link w:val="ListParagraphChar"/>
    <w:uiPriority w:val="34"/>
    <w:qFormat/>
    <w:rsid w:val="000E210C"/>
    <w:pPr>
      <w:ind w:left="720"/>
      <w:contextualSpacing/>
    </w:pPr>
  </w:style>
  <w:style w:type="character" w:customStyle="1" w:styleId="ListParagraphChar">
    <w:name w:val="List Paragraph Char"/>
    <w:aliases w:val="Recommendation Char,List Paragraph1 Char,List Paragraph11 Char,L Char,Bullet Point Char,Bullet points Char,Content descriptions Char,Body Bullets 1 Char,Bullet point Char,Main Char,CV text Char,Table text Char,F5 List Paragraph Char"/>
    <w:basedOn w:val="DefaultParagraphFont"/>
    <w:link w:val="ListParagraph"/>
    <w:uiPriority w:val="34"/>
    <w:qFormat/>
    <w:locked/>
    <w:rsid w:val="005F278D"/>
  </w:style>
  <w:style w:type="paragraph" w:customStyle="1" w:styleId="TableParagraph">
    <w:name w:val="Table Paragraph"/>
    <w:basedOn w:val="Normal"/>
    <w:uiPriority w:val="1"/>
    <w:qFormat/>
    <w:rsid w:val="005F278D"/>
    <w:pPr>
      <w:widowControl w:val="0"/>
      <w:spacing w:after="0" w:line="240" w:lineRule="auto"/>
    </w:pPr>
    <w:rPr>
      <w:lang w:val="en-US"/>
    </w:rPr>
  </w:style>
  <w:style w:type="paragraph" w:styleId="NormalWeb">
    <w:name w:val="Normal (Web)"/>
    <w:basedOn w:val="Normal"/>
    <w:uiPriority w:val="99"/>
    <w:unhideWhenUsed/>
    <w:rsid w:val="005F278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F278D"/>
    <w:pPr>
      <w:widowControl w:val="0"/>
      <w:spacing w:after="0" w:line="240" w:lineRule="auto"/>
    </w:pPr>
    <w:rPr>
      <w:lang w:val="en-US"/>
    </w:rPr>
  </w:style>
  <w:style w:type="character" w:styleId="CommentReference">
    <w:name w:val="annotation reference"/>
    <w:basedOn w:val="DefaultParagraphFont"/>
    <w:uiPriority w:val="99"/>
    <w:semiHidden/>
    <w:unhideWhenUsed/>
    <w:rsid w:val="005F278D"/>
    <w:rPr>
      <w:sz w:val="16"/>
      <w:szCs w:val="16"/>
    </w:rPr>
  </w:style>
  <w:style w:type="paragraph" w:styleId="CommentText">
    <w:name w:val="annotation text"/>
    <w:basedOn w:val="Normal"/>
    <w:link w:val="CommentTextChar"/>
    <w:uiPriority w:val="99"/>
    <w:semiHidden/>
    <w:unhideWhenUsed/>
    <w:rsid w:val="005F278D"/>
    <w:pPr>
      <w:spacing w:after="200" w:line="240" w:lineRule="auto"/>
    </w:pPr>
    <w:rPr>
      <w:rFonts w:ascii="Arial" w:hAnsi="Arial"/>
      <w:sz w:val="20"/>
      <w:szCs w:val="20"/>
      <w:lang w:val="en-AU"/>
    </w:rPr>
  </w:style>
  <w:style w:type="character" w:customStyle="1" w:styleId="CommentTextChar">
    <w:name w:val="Comment Text Char"/>
    <w:basedOn w:val="DefaultParagraphFont"/>
    <w:link w:val="CommentText"/>
    <w:uiPriority w:val="99"/>
    <w:semiHidden/>
    <w:rsid w:val="005F278D"/>
    <w:rPr>
      <w:rFonts w:ascii="Arial" w:hAnsi="Arial"/>
      <w:sz w:val="20"/>
      <w:szCs w:val="20"/>
      <w:lang w:val="en-AU"/>
    </w:rPr>
  </w:style>
  <w:style w:type="paragraph" w:styleId="BalloonText">
    <w:name w:val="Balloon Text"/>
    <w:basedOn w:val="Normal"/>
    <w:link w:val="BalloonTextChar"/>
    <w:uiPriority w:val="99"/>
    <w:semiHidden/>
    <w:unhideWhenUsed/>
    <w:rsid w:val="005F2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7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47DBB"/>
    <w:pPr>
      <w:spacing w:after="16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547DBB"/>
    <w:rPr>
      <w:rFonts w:ascii="Arial" w:hAnsi="Arial"/>
      <w:b/>
      <w:bCs/>
      <w:sz w:val="20"/>
      <w:szCs w:val="20"/>
      <w:lang w:val="en-AU"/>
    </w:rPr>
  </w:style>
  <w:style w:type="paragraph" w:customStyle="1" w:styleId="Default">
    <w:name w:val="Default"/>
    <w:rsid w:val="00FB18C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A7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73E"/>
  </w:style>
  <w:style w:type="paragraph" w:styleId="Footer">
    <w:name w:val="footer"/>
    <w:basedOn w:val="Normal"/>
    <w:link w:val="FooterChar"/>
    <w:uiPriority w:val="99"/>
    <w:unhideWhenUsed/>
    <w:rsid w:val="008A7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54304">
      <w:bodyDiv w:val="1"/>
      <w:marLeft w:val="0"/>
      <w:marRight w:val="0"/>
      <w:marTop w:val="0"/>
      <w:marBottom w:val="0"/>
      <w:divBdr>
        <w:top w:val="none" w:sz="0" w:space="0" w:color="auto"/>
        <w:left w:val="none" w:sz="0" w:space="0" w:color="auto"/>
        <w:bottom w:val="none" w:sz="0" w:space="0" w:color="auto"/>
        <w:right w:val="none" w:sz="0" w:space="0" w:color="auto"/>
      </w:divBdr>
    </w:div>
    <w:div w:id="647711086">
      <w:bodyDiv w:val="1"/>
      <w:marLeft w:val="0"/>
      <w:marRight w:val="0"/>
      <w:marTop w:val="0"/>
      <w:marBottom w:val="0"/>
      <w:divBdr>
        <w:top w:val="none" w:sz="0" w:space="0" w:color="auto"/>
        <w:left w:val="none" w:sz="0" w:space="0" w:color="auto"/>
        <w:bottom w:val="none" w:sz="0" w:space="0" w:color="auto"/>
        <w:right w:val="none" w:sz="0" w:space="0" w:color="auto"/>
      </w:divBdr>
    </w:div>
    <w:div w:id="1182933987">
      <w:bodyDiv w:val="1"/>
      <w:marLeft w:val="0"/>
      <w:marRight w:val="0"/>
      <w:marTop w:val="0"/>
      <w:marBottom w:val="0"/>
      <w:divBdr>
        <w:top w:val="none" w:sz="0" w:space="0" w:color="auto"/>
        <w:left w:val="none" w:sz="0" w:space="0" w:color="auto"/>
        <w:bottom w:val="none" w:sz="0" w:space="0" w:color="auto"/>
        <w:right w:val="none" w:sz="0" w:space="0" w:color="auto"/>
      </w:divBdr>
    </w:div>
    <w:div w:id="1337464813">
      <w:bodyDiv w:val="1"/>
      <w:marLeft w:val="0"/>
      <w:marRight w:val="0"/>
      <w:marTop w:val="0"/>
      <w:marBottom w:val="0"/>
      <w:divBdr>
        <w:top w:val="none" w:sz="0" w:space="0" w:color="auto"/>
        <w:left w:val="none" w:sz="0" w:space="0" w:color="auto"/>
        <w:bottom w:val="none" w:sz="0" w:space="0" w:color="auto"/>
        <w:right w:val="none" w:sz="0" w:space="0" w:color="auto"/>
      </w:divBdr>
    </w:div>
    <w:div w:id="1750888093">
      <w:bodyDiv w:val="1"/>
      <w:marLeft w:val="0"/>
      <w:marRight w:val="0"/>
      <w:marTop w:val="0"/>
      <w:marBottom w:val="0"/>
      <w:divBdr>
        <w:top w:val="none" w:sz="0" w:space="0" w:color="auto"/>
        <w:left w:val="none" w:sz="0" w:space="0" w:color="auto"/>
        <w:bottom w:val="none" w:sz="0" w:space="0" w:color="auto"/>
        <w:right w:val="none" w:sz="0" w:space="0" w:color="auto"/>
      </w:divBdr>
    </w:div>
    <w:div w:id="2032488491">
      <w:bodyDiv w:val="1"/>
      <w:marLeft w:val="0"/>
      <w:marRight w:val="0"/>
      <w:marTop w:val="0"/>
      <w:marBottom w:val="0"/>
      <w:divBdr>
        <w:top w:val="none" w:sz="0" w:space="0" w:color="auto"/>
        <w:left w:val="none" w:sz="0" w:space="0" w:color="auto"/>
        <w:bottom w:val="none" w:sz="0" w:space="0" w:color="auto"/>
        <w:right w:val="none" w:sz="0" w:space="0" w:color="auto"/>
      </w:divBdr>
    </w:div>
    <w:div w:id="2042002340">
      <w:bodyDiv w:val="1"/>
      <w:marLeft w:val="0"/>
      <w:marRight w:val="0"/>
      <w:marTop w:val="0"/>
      <w:marBottom w:val="0"/>
      <w:divBdr>
        <w:top w:val="none" w:sz="0" w:space="0" w:color="auto"/>
        <w:left w:val="none" w:sz="0" w:space="0" w:color="auto"/>
        <w:bottom w:val="none" w:sz="0" w:space="0" w:color="auto"/>
        <w:right w:val="none" w:sz="0" w:space="0" w:color="auto"/>
      </w:divBdr>
    </w:div>
    <w:div w:id="20936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1A836600E6BBAA4A9C8157BEED95BCA200F786DA9E445B6546B18B98166562BDB9" ma:contentTypeVersion="4" ma:contentTypeDescription="" ma:contentTypeScope="" ma:versionID="94095d46e3b029d2d1d5abb6ff3c34bb">
  <xsd:schema xmlns:xsd="http://www.w3.org/2001/XMLSchema" xmlns:xs="http://www.w3.org/2001/XMLSchema" xmlns:p="http://schemas.microsoft.com/office/2006/metadata/properties" xmlns:ns3="d2f2a9fe-56f6-4612-b914-f1fc641040d2" xmlns:ns4="f7a52bcb-c910-4dbf-a4f4-4bc29e999c7e" targetNamespace="http://schemas.microsoft.com/office/2006/metadata/properties" ma:root="true" ma:fieldsID="a4d0dac90877b3297c40d651b3fc5f50" ns3:_="" ns4:_="">
    <xsd:import namespace="d2f2a9fe-56f6-4612-b914-f1fc641040d2"/>
    <xsd:import namespace="f7a52bcb-c910-4dbf-a4f4-4bc29e999c7e"/>
    <xsd:element name="properties">
      <xsd:complexType>
        <xsd:sequence>
          <xsd:element name="documentManagement">
            <xsd:complexType>
              <xsd:all>
                <xsd:element ref="ns3:Tender_x0020_Ref"/>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2a9fe-56f6-4612-b914-f1fc641040d2" elementFormDefault="qualified">
    <xsd:import namespace="http://schemas.microsoft.com/office/2006/documentManagement/types"/>
    <xsd:import namespace="http://schemas.microsoft.com/office/infopath/2007/PartnerControls"/>
    <xsd:element name="Tender_x0020_Ref" ma:index="10" ma:displayName="Tender Ref" ma:default="unknown" ma:internalName="Tender_x0020_Ref">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f7a52bcb-c910-4dbf-a4f4-4bc29e999c7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ender_x0020_Ref xmlns="d2f2a9fe-56f6-4612-b914-f1fc641040d2">unknown</Tender_x0020_Ref>
    <_dlc_DocId xmlns="f7a52bcb-c910-4dbf-a4f4-4bc29e999c7e">FN70-1826655317-38635</_dlc_DocId>
    <_dlc_DocIdUrl xmlns="f7a52bcb-c910-4dbf-a4f4-4bc29e999c7e">
      <Url>http://sp-fn70/Proc/_layouts/15/DocIdRedir.aspx?ID=FN70-1826655317-38635</Url>
      <Description>FN70-1826655317-38635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F72D-1920-4C81-A80C-7DD021541FFB}">
  <ds:schemaRefs>
    <ds:schemaRef ds:uri="http://schemas.microsoft.com/sharepoint/v3/contenttype/forms"/>
  </ds:schemaRefs>
</ds:datastoreItem>
</file>

<file path=customXml/itemProps2.xml><?xml version="1.0" encoding="utf-8"?>
<ds:datastoreItem xmlns:ds="http://schemas.openxmlformats.org/officeDocument/2006/customXml" ds:itemID="{86312F39-6685-4162-8006-BE4F75F27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2a9fe-56f6-4612-b914-f1fc641040d2"/>
    <ds:schemaRef ds:uri="f7a52bcb-c910-4dbf-a4f4-4bc29e999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CF4F5-3C60-4DFF-84C0-82A9BE31D59A}">
  <ds:schemaRefs>
    <ds:schemaRef ds:uri="http://schemas.microsoft.com/sharepoint/events"/>
  </ds:schemaRefs>
</ds:datastoreItem>
</file>

<file path=customXml/itemProps4.xml><?xml version="1.0" encoding="utf-8"?>
<ds:datastoreItem xmlns:ds="http://schemas.openxmlformats.org/officeDocument/2006/customXml" ds:itemID="{6AB3D441-D91A-46C7-84B8-C275A22D78BA}">
  <ds:schemaRefs>
    <ds:schemaRef ds:uri="http://schemas.microsoft.com/office/2006/metadata/properties"/>
    <ds:schemaRef ds:uri="http://schemas.microsoft.com/office/infopath/2007/PartnerControls"/>
    <ds:schemaRef ds:uri="d2f2a9fe-56f6-4612-b914-f1fc641040d2"/>
    <ds:schemaRef ds:uri="f7a52bcb-c910-4dbf-a4f4-4bc29e999c7e"/>
  </ds:schemaRefs>
</ds:datastoreItem>
</file>

<file path=customXml/itemProps5.xml><?xml version="1.0" encoding="utf-8"?>
<ds:datastoreItem xmlns:ds="http://schemas.openxmlformats.org/officeDocument/2006/customXml" ds:itemID="{513CC740-25C8-4E1B-8317-40C9773F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Centro</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Borson</dc:creator>
  <cp:keywords/>
  <dc:description/>
  <cp:lastModifiedBy>Admin Team</cp:lastModifiedBy>
  <cp:revision>2</cp:revision>
  <dcterms:created xsi:type="dcterms:W3CDTF">2020-03-31T09:36:00Z</dcterms:created>
  <dcterms:modified xsi:type="dcterms:W3CDTF">2020-03-31T09:36:00Z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42cfd94b-4d0e-4010-98e1-6b7616cdd6b0</vt:lpwstr>
  </property>
  <property fmtid="{D5CDD505-2E9C-101B-9397-08002B2CF9AE}" pid="3" name="ContentTypeId">
    <vt:lpwstr>0x0101001A836600E6BBAA4A9C8157BEED95BCA200F786DA9E445B6546B18B98166562BDB9</vt:lpwstr>
  </property>
</Properties>
</file>