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A101" w14:textId="74E054C2" w:rsidR="004F5BC4" w:rsidRPr="008911C0" w:rsidRDefault="004F5BC4" w:rsidP="00CC3009">
      <w:pPr>
        <w:pStyle w:val="NormalWeb"/>
        <w:rPr>
          <w:rFonts w:ascii="Arial" w:hAnsi="Arial" w:cs="Arial"/>
          <w:b/>
          <w:sz w:val="22"/>
          <w:szCs w:val="22"/>
        </w:rPr>
      </w:pPr>
      <w:r w:rsidRPr="008911C0">
        <w:rPr>
          <w:rFonts w:ascii="Arial" w:hAnsi="Arial" w:cs="Arial"/>
          <w:b/>
          <w:sz w:val="22"/>
          <w:szCs w:val="22"/>
        </w:rPr>
        <w:t>Introduction</w:t>
      </w:r>
      <w:r>
        <w:rPr>
          <w:rFonts w:ascii="Arial" w:hAnsi="Arial" w:cs="Arial"/>
          <w:b/>
          <w:sz w:val="22"/>
          <w:szCs w:val="22"/>
        </w:rPr>
        <w:t xml:space="preserve"> and Background</w:t>
      </w:r>
      <w:r w:rsidRPr="008911C0">
        <w:rPr>
          <w:rFonts w:ascii="Arial" w:hAnsi="Arial" w:cs="Arial"/>
          <w:b/>
          <w:sz w:val="22"/>
          <w:szCs w:val="22"/>
        </w:rPr>
        <w:t xml:space="preserve"> </w:t>
      </w:r>
    </w:p>
    <w:p w14:paraId="6E391C95" w14:textId="77777777" w:rsidR="004F5BC4" w:rsidRPr="004A209F" w:rsidRDefault="004F5BC4" w:rsidP="00CC3009">
      <w:pPr>
        <w:pStyle w:val="NormalWeb"/>
        <w:rPr>
          <w:rFonts w:ascii="Arial" w:hAnsi="Arial" w:cs="Arial"/>
          <w:sz w:val="12"/>
          <w:szCs w:val="22"/>
        </w:rPr>
      </w:pPr>
    </w:p>
    <w:p w14:paraId="67BE465D" w14:textId="2059B71F" w:rsidR="004F5BC4" w:rsidRDefault="00202B66" w:rsidP="00CC3009">
      <w:pPr>
        <w:pStyle w:val="NormalWeb"/>
        <w:rPr>
          <w:rFonts w:ascii="Arial" w:hAnsi="Arial" w:cs="Arial"/>
          <w:sz w:val="22"/>
          <w:szCs w:val="22"/>
        </w:rPr>
      </w:pPr>
      <w:r w:rsidRPr="00202B66">
        <w:rPr>
          <w:rFonts w:ascii="Arial" w:hAnsi="Arial" w:cs="Arial"/>
          <w:sz w:val="22"/>
          <w:szCs w:val="22"/>
        </w:rPr>
        <w:t>Subcontracting has become an inte</w:t>
      </w:r>
      <w:r w:rsidR="004F5BC4">
        <w:rPr>
          <w:rFonts w:ascii="Arial" w:hAnsi="Arial" w:cs="Arial"/>
          <w:sz w:val="22"/>
          <w:szCs w:val="22"/>
        </w:rPr>
        <w:t>gral element of the FE system. Subcontracting</w:t>
      </w:r>
      <w:r w:rsidRPr="00202B66">
        <w:rPr>
          <w:rFonts w:ascii="Arial" w:hAnsi="Arial" w:cs="Arial"/>
          <w:sz w:val="22"/>
          <w:szCs w:val="22"/>
        </w:rPr>
        <w:t xml:space="preserve"> has grown and evolved mainly because of changes to the funding system and policy development and, as such, little has been written on what good practice looks like</w:t>
      </w:r>
      <w:r w:rsidR="004F5BC4">
        <w:rPr>
          <w:rFonts w:ascii="Arial" w:hAnsi="Arial" w:cs="Arial"/>
          <w:sz w:val="22"/>
          <w:szCs w:val="22"/>
        </w:rPr>
        <w:t xml:space="preserve"> and more specifically a defined list of expectations for the main (prime) provider who in accessing public funding has overall accountability</w:t>
      </w:r>
      <w:r w:rsidR="00040D91">
        <w:rPr>
          <w:rFonts w:ascii="Arial" w:hAnsi="Arial" w:cs="Arial"/>
          <w:sz w:val="22"/>
          <w:szCs w:val="22"/>
        </w:rPr>
        <w:t xml:space="preserve"> and </w:t>
      </w:r>
      <w:r w:rsidR="004A209F">
        <w:rPr>
          <w:rFonts w:ascii="Arial" w:hAnsi="Arial" w:cs="Arial"/>
          <w:sz w:val="22"/>
          <w:szCs w:val="22"/>
        </w:rPr>
        <w:t>responsibility</w:t>
      </w:r>
      <w:r w:rsidRPr="00202B66">
        <w:rPr>
          <w:rFonts w:ascii="Arial" w:hAnsi="Arial" w:cs="Arial"/>
          <w:sz w:val="22"/>
          <w:szCs w:val="22"/>
        </w:rPr>
        <w:t xml:space="preserve">.  </w:t>
      </w:r>
    </w:p>
    <w:p w14:paraId="76565849" w14:textId="771C7650" w:rsidR="004F5BC4" w:rsidRDefault="004F5BC4" w:rsidP="00CC3009">
      <w:pPr>
        <w:pStyle w:val="NormalWeb"/>
        <w:rPr>
          <w:rFonts w:ascii="Arial" w:hAnsi="Arial" w:cs="Arial"/>
          <w:sz w:val="22"/>
          <w:szCs w:val="22"/>
        </w:rPr>
      </w:pPr>
    </w:p>
    <w:p w14:paraId="5B7ED88F" w14:textId="5ECAB458" w:rsidR="00202B66" w:rsidRDefault="00202B66" w:rsidP="00CC3009">
      <w:pPr>
        <w:pStyle w:val="NormalWeb"/>
        <w:rPr>
          <w:rFonts w:ascii="Arial" w:hAnsi="Arial" w:cs="Arial"/>
          <w:sz w:val="22"/>
          <w:szCs w:val="22"/>
        </w:rPr>
      </w:pPr>
      <w:r w:rsidRPr="004F5BC4">
        <w:rPr>
          <w:rFonts w:ascii="Arial" w:hAnsi="Arial" w:cs="Arial"/>
          <w:sz w:val="22"/>
          <w:szCs w:val="22"/>
        </w:rPr>
        <w:t xml:space="preserve">Although the FE system has always had an element of subcontracting, there </w:t>
      </w:r>
      <w:r w:rsidR="004A4AA6">
        <w:rPr>
          <w:rFonts w:ascii="Arial" w:hAnsi="Arial" w:cs="Arial"/>
          <w:sz w:val="22"/>
          <w:szCs w:val="22"/>
        </w:rPr>
        <w:t>have</w:t>
      </w:r>
      <w:r w:rsidR="004A4AA6" w:rsidRPr="004F5BC4">
        <w:rPr>
          <w:rFonts w:ascii="Arial" w:hAnsi="Arial" w:cs="Arial"/>
          <w:sz w:val="22"/>
          <w:szCs w:val="22"/>
        </w:rPr>
        <w:t xml:space="preserve"> </w:t>
      </w:r>
      <w:r w:rsidRPr="004F5BC4">
        <w:rPr>
          <w:rFonts w:ascii="Arial" w:hAnsi="Arial" w:cs="Arial"/>
          <w:sz w:val="22"/>
          <w:szCs w:val="22"/>
        </w:rPr>
        <w:t>been various changes of policy that have increased activity; for example, the Skills Funding Agency’s policy of minimum contracting levels for prime providers forced small prime contract holders to hand back their prime contract or transfer it to a large prime and become a subcontractor with no direct access to government funding.  The ESFA procurement exercises for the partial procurement of the Adult Education Budget and non</w:t>
      </w:r>
      <w:r w:rsidR="004F5BC4" w:rsidRPr="004F5BC4">
        <w:rPr>
          <w:rFonts w:ascii="Arial" w:hAnsi="Arial" w:cs="Arial"/>
          <w:sz w:val="22"/>
          <w:szCs w:val="22"/>
        </w:rPr>
        <w:t>-</w:t>
      </w:r>
      <w:r w:rsidRPr="004F5BC4">
        <w:rPr>
          <w:rFonts w:ascii="Arial" w:hAnsi="Arial" w:cs="Arial"/>
          <w:sz w:val="22"/>
          <w:szCs w:val="22"/>
        </w:rPr>
        <w:t xml:space="preserve">levy apprenticeship funding have created similar circumstances where many providers </w:t>
      </w:r>
      <w:r w:rsidR="004F5BC4" w:rsidRPr="004F5BC4">
        <w:rPr>
          <w:rFonts w:ascii="Arial" w:hAnsi="Arial" w:cs="Arial"/>
          <w:sz w:val="22"/>
          <w:szCs w:val="22"/>
        </w:rPr>
        <w:t>had</w:t>
      </w:r>
      <w:r w:rsidRPr="004F5BC4">
        <w:rPr>
          <w:rFonts w:ascii="Arial" w:hAnsi="Arial" w:cs="Arial"/>
          <w:sz w:val="22"/>
          <w:szCs w:val="22"/>
        </w:rPr>
        <w:t xml:space="preserve"> to enter into a new prime and subcontracting relationship to have access to any funding. </w:t>
      </w:r>
      <w:r w:rsidR="004F5BC4">
        <w:rPr>
          <w:rFonts w:ascii="Arial" w:hAnsi="Arial" w:cs="Arial"/>
          <w:sz w:val="22"/>
          <w:szCs w:val="22"/>
        </w:rPr>
        <w:t>The same is true in the most recent procurement rounds for the devolution of AEB to the Mayoral Combined Authorities (MCAs).</w:t>
      </w:r>
    </w:p>
    <w:p w14:paraId="6EF6B724" w14:textId="4C167515" w:rsidR="004F5BC4" w:rsidRDefault="004F5BC4" w:rsidP="00CC3009">
      <w:pPr>
        <w:pStyle w:val="NormalWeb"/>
        <w:rPr>
          <w:rFonts w:ascii="Arial" w:hAnsi="Arial" w:cs="Arial"/>
          <w:b/>
          <w:sz w:val="22"/>
          <w:szCs w:val="22"/>
        </w:rPr>
      </w:pPr>
    </w:p>
    <w:p w14:paraId="2F564B72" w14:textId="21756DCF" w:rsidR="00202B66" w:rsidRPr="009021B7" w:rsidRDefault="00202B66" w:rsidP="00CC3009">
      <w:pPr>
        <w:pStyle w:val="NormalWeb"/>
        <w:rPr>
          <w:rFonts w:ascii="Arial" w:hAnsi="Arial" w:cs="Arial"/>
          <w:sz w:val="22"/>
          <w:szCs w:val="22"/>
        </w:rPr>
      </w:pPr>
      <w:r w:rsidRPr="009021B7">
        <w:rPr>
          <w:rFonts w:ascii="Arial" w:hAnsi="Arial" w:cs="Arial"/>
          <w:sz w:val="22"/>
          <w:szCs w:val="22"/>
        </w:rPr>
        <w:t xml:space="preserve">Without a doubt, subcontracting plays a vital part in the FE system for </w:t>
      </w:r>
      <w:r w:rsidR="004A4AA6" w:rsidRPr="009021B7">
        <w:rPr>
          <w:rFonts w:ascii="Arial" w:hAnsi="Arial" w:cs="Arial"/>
          <w:sz w:val="22"/>
          <w:szCs w:val="22"/>
        </w:rPr>
        <w:t>many</w:t>
      </w:r>
      <w:r w:rsidRPr="009021B7">
        <w:rPr>
          <w:rFonts w:ascii="Arial" w:hAnsi="Arial" w:cs="Arial"/>
          <w:sz w:val="22"/>
          <w:szCs w:val="22"/>
        </w:rPr>
        <w:t xml:space="preserve"> reasons: </w:t>
      </w:r>
    </w:p>
    <w:p w14:paraId="4B04A83A" w14:textId="2AE9D31F" w:rsidR="004F5BC4" w:rsidRPr="009021B7" w:rsidRDefault="003B0F94" w:rsidP="004A209F">
      <w:pPr>
        <w:pStyle w:val="NormalWeb"/>
        <w:tabs>
          <w:tab w:val="left" w:pos="1240"/>
        </w:tabs>
        <w:rPr>
          <w:rFonts w:ascii="Arial" w:hAnsi="Arial" w:cs="Arial"/>
          <w:sz w:val="22"/>
          <w:szCs w:val="22"/>
        </w:rPr>
      </w:pPr>
      <w:r w:rsidRPr="009021B7">
        <w:rPr>
          <w:rFonts w:ascii="Arial" w:hAnsi="Arial" w:cs="Arial"/>
          <w:sz w:val="22"/>
          <w:szCs w:val="22"/>
        </w:rPr>
        <w:tab/>
      </w:r>
    </w:p>
    <w:p w14:paraId="467B5133" w14:textId="6A4B7BA8" w:rsidR="004F5BC4" w:rsidRPr="00A30859" w:rsidRDefault="00202B66" w:rsidP="004A209F">
      <w:pPr>
        <w:pStyle w:val="NormalWeb"/>
        <w:numPr>
          <w:ilvl w:val="0"/>
          <w:numId w:val="16"/>
        </w:numPr>
        <w:rPr>
          <w:rFonts w:ascii="Arial" w:hAnsi="Arial" w:cs="Arial"/>
          <w:sz w:val="22"/>
          <w:szCs w:val="22"/>
        </w:rPr>
      </w:pPr>
      <w:r w:rsidRPr="00A30859">
        <w:rPr>
          <w:rFonts w:ascii="Arial" w:hAnsi="Arial" w:cs="Arial"/>
          <w:b/>
          <w:sz w:val="22"/>
          <w:szCs w:val="22"/>
        </w:rPr>
        <w:t>Employer Choice</w:t>
      </w:r>
      <w:r w:rsidRPr="00A30859">
        <w:rPr>
          <w:rFonts w:ascii="Arial" w:hAnsi="Arial" w:cs="Arial"/>
          <w:sz w:val="22"/>
          <w:szCs w:val="22"/>
        </w:rPr>
        <w:t xml:space="preserve">: A desire for large employers to work with one </w:t>
      </w:r>
      <w:r w:rsidR="00133CFC" w:rsidRPr="00A30859">
        <w:rPr>
          <w:rFonts w:ascii="Arial" w:hAnsi="Arial" w:cs="Arial"/>
          <w:sz w:val="22"/>
          <w:szCs w:val="22"/>
        </w:rPr>
        <w:t xml:space="preserve">main </w:t>
      </w:r>
      <w:r w:rsidRPr="00A30859">
        <w:rPr>
          <w:rFonts w:ascii="Arial" w:hAnsi="Arial" w:cs="Arial"/>
          <w:sz w:val="22"/>
          <w:szCs w:val="22"/>
        </w:rPr>
        <w:t xml:space="preserve">provider and that provider needing to subcontract to ensure coverage by level, sector, specialism and region. </w:t>
      </w:r>
    </w:p>
    <w:p w14:paraId="4D955EAC" w14:textId="07136D91" w:rsidR="004F5BC4" w:rsidRPr="00A30859" w:rsidRDefault="00202B66" w:rsidP="004A209F">
      <w:pPr>
        <w:pStyle w:val="NormalWeb"/>
        <w:numPr>
          <w:ilvl w:val="0"/>
          <w:numId w:val="16"/>
        </w:numPr>
        <w:rPr>
          <w:rFonts w:ascii="Arial" w:hAnsi="Arial" w:cs="Arial"/>
          <w:sz w:val="22"/>
          <w:szCs w:val="22"/>
        </w:rPr>
      </w:pPr>
      <w:r w:rsidRPr="00A30859">
        <w:rPr>
          <w:rFonts w:ascii="Arial" w:hAnsi="Arial" w:cs="Arial"/>
          <w:b/>
          <w:sz w:val="22"/>
          <w:szCs w:val="22"/>
        </w:rPr>
        <w:t>Provider Scope</w:t>
      </w:r>
      <w:r w:rsidRPr="00A30859">
        <w:rPr>
          <w:rFonts w:ascii="Arial" w:hAnsi="Arial" w:cs="Arial"/>
          <w:sz w:val="22"/>
          <w:szCs w:val="22"/>
        </w:rPr>
        <w:t xml:space="preserve">:  Not all providers can deliver the totality of the needs of an individual employer.  </w:t>
      </w:r>
    </w:p>
    <w:p w14:paraId="493F95D3" w14:textId="6CD3C24E" w:rsidR="004F5BC4" w:rsidRPr="00A30859" w:rsidRDefault="00202B66" w:rsidP="004A209F">
      <w:pPr>
        <w:pStyle w:val="NormalWeb"/>
        <w:numPr>
          <w:ilvl w:val="0"/>
          <w:numId w:val="16"/>
        </w:numPr>
        <w:rPr>
          <w:rFonts w:ascii="Arial" w:hAnsi="Arial" w:cs="Arial"/>
          <w:sz w:val="22"/>
          <w:szCs w:val="22"/>
        </w:rPr>
      </w:pPr>
      <w:r w:rsidRPr="00A30859">
        <w:rPr>
          <w:rFonts w:ascii="Arial" w:hAnsi="Arial" w:cs="Arial"/>
          <w:b/>
          <w:sz w:val="22"/>
          <w:szCs w:val="22"/>
        </w:rPr>
        <w:t>Specialism</w:t>
      </w:r>
      <w:r w:rsidRPr="00A30859">
        <w:rPr>
          <w:rFonts w:ascii="Arial" w:hAnsi="Arial" w:cs="Arial"/>
          <w:sz w:val="22"/>
          <w:szCs w:val="22"/>
        </w:rPr>
        <w:t xml:space="preserve">: Many specialist providers offer unique training and want to focus on the training and delivery aspect of the apprenticeship programme where they have </w:t>
      </w:r>
      <w:r w:rsidR="0071756B" w:rsidRPr="00A30859">
        <w:rPr>
          <w:rFonts w:ascii="Arial" w:hAnsi="Arial" w:cs="Arial"/>
          <w:sz w:val="22"/>
          <w:szCs w:val="22"/>
        </w:rPr>
        <w:t xml:space="preserve">the </w:t>
      </w:r>
      <w:r w:rsidRPr="00A30859">
        <w:rPr>
          <w:rFonts w:ascii="Arial" w:hAnsi="Arial" w:cs="Arial"/>
          <w:sz w:val="22"/>
          <w:szCs w:val="22"/>
        </w:rPr>
        <w:t xml:space="preserve">most expertise, leaving the contract administration and back-office functions to larger experienced </w:t>
      </w:r>
      <w:r w:rsidR="00133CFC" w:rsidRPr="00A30859">
        <w:rPr>
          <w:rFonts w:ascii="Arial" w:hAnsi="Arial" w:cs="Arial"/>
          <w:sz w:val="22"/>
          <w:szCs w:val="22"/>
        </w:rPr>
        <w:t xml:space="preserve">main </w:t>
      </w:r>
      <w:r w:rsidRPr="00A30859">
        <w:rPr>
          <w:rFonts w:ascii="Arial" w:hAnsi="Arial" w:cs="Arial"/>
          <w:sz w:val="22"/>
          <w:szCs w:val="22"/>
        </w:rPr>
        <w:t xml:space="preserve">providers. </w:t>
      </w:r>
    </w:p>
    <w:p w14:paraId="1C9933E0" w14:textId="1069CA19" w:rsidR="00202B66" w:rsidRPr="00A30859" w:rsidRDefault="00202B66" w:rsidP="00CC3009">
      <w:pPr>
        <w:pStyle w:val="NormalWeb"/>
        <w:numPr>
          <w:ilvl w:val="0"/>
          <w:numId w:val="16"/>
        </w:numPr>
        <w:rPr>
          <w:rFonts w:ascii="Arial" w:hAnsi="Arial" w:cs="Arial"/>
          <w:sz w:val="22"/>
          <w:szCs w:val="22"/>
        </w:rPr>
      </w:pPr>
      <w:r w:rsidRPr="00A30859">
        <w:rPr>
          <w:rFonts w:ascii="Arial" w:hAnsi="Arial" w:cs="Arial"/>
          <w:b/>
          <w:sz w:val="22"/>
          <w:szCs w:val="22"/>
        </w:rPr>
        <w:t>Growing Quality Providers</w:t>
      </w:r>
      <w:r w:rsidRPr="00A30859">
        <w:rPr>
          <w:rFonts w:ascii="Arial" w:hAnsi="Arial" w:cs="Arial"/>
          <w:sz w:val="22"/>
          <w:szCs w:val="22"/>
        </w:rPr>
        <w:t xml:space="preserve">: A desire for new providers to be supported in capacity building by an established provider, who can provide guidance and share best practice in the setup of their own infrastructure and business growth. </w:t>
      </w:r>
    </w:p>
    <w:p w14:paraId="3C67DB96" w14:textId="77777777" w:rsidR="00202B66" w:rsidRPr="00133CFC" w:rsidRDefault="00202B66" w:rsidP="00CC3009">
      <w:pPr>
        <w:pStyle w:val="NormalWeb"/>
        <w:rPr>
          <w:rFonts w:ascii="Arial" w:hAnsi="Arial" w:cs="Arial"/>
          <w:b/>
          <w:sz w:val="12"/>
          <w:szCs w:val="22"/>
        </w:rPr>
      </w:pPr>
      <w:r w:rsidRPr="009021B7">
        <w:rPr>
          <w:rFonts w:ascii="Arial" w:hAnsi="Arial" w:cs="Arial"/>
          <w:b/>
          <w:sz w:val="22"/>
          <w:szCs w:val="22"/>
        </w:rPr>
        <w:t xml:space="preserve"> </w:t>
      </w:r>
    </w:p>
    <w:p w14:paraId="0CBE5184" w14:textId="1E4717D9" w:rsidR="00202B66" w:rsidRPr="009021B7" w:rsidRDefault="004F5BC4" w:rsidP="00CC3009">
      <w:pPr>
        <w:pStyle w:val="NormalWeb"/>
        <w:rPr>
          <w:rFonts w:ascii="Arial" w:hAnsi="Arial" w:cs="Arial"/>
          <w:b/>
          <w:sz w:val="22"/>
          <w:szCs w:val="22"/>
        </w:rPr>
      </w:pPr>
      <w:r w:rsidRPr="009021B7">
        <w:rPr>
          <w:rFonts w:ascii="Arial" w:hAnsi="Arial" w:cs="Arial"/>
          <w:b/>
          <w:sz w:val="22"/>
          <w:szCs w:val="22"/>
        </w:rPr>
        <w:t xml:space="preserve"> </w:t>
      </w:r>
    </w:p>
    <w:p w14:paraId="586B117E" w14:textId="4E6AB625" w:rsidR="00202B66" w:rsidRPr="009021B7" w:rsidRDefault="00202B66" w:rsidP="00CC3009">
      <w:pPr>
        <w:pStyle w:val="NormalWeb"/>
        <w:rPr>
          <w:rFonts w:ascii="Arial" w:hAnsi="Arial" w:cs="Arial"/>
          <w:sz w:val="22"/>
          <w:szCs w:val="22"/>
        </w:rPr>
      </w:pPr>
      <w:r w:rsidRPr="009021B7">
        <w:rPr>
          <w:rFonts w:ascii="Arial" w:hAnsi="Arial" w:cs="Arial"/>
          <w:sz w:val="22"/>
          <w:szCs w:val="22"/>
        </w:rPr>
        <w:t xml:space="preserve">Subcontracting comes with several challenges: </w:t>
      </w:r>
    </w:p>
    <w:p w14:paraId="1E8AF44E" w14:textId="4AA54038" w:rsidR="00202B66" w:rsidRPr="009021B7" w:rsidRDefault="00202B66" w:rsidP="004A209F">
      <w:pPr>
        <w:pStyle w:val="NormalWeb"/>
        <w:ind w:firstLine="60"/>
        <w:rPr>
          <w:rFonts w:ascii="Arial" w:hAnsi="Arial" w:cs="Arial"/>
          <w:sz w:val="22"/>
          <w:szCs w:val="22"/>
        </w:rPr>
      </w:pPr>
    </w:p>
    <w:p w14:paraId="36F2D2C1" w14:textId="409D8F1E" w:rsidR="004F5BC4" w:rsidRPr="009021B7" w:rsidRDefault="00202B66" w:rsidP="004A209F">
      <w:pPr>
        <w:pStyle w:val="NormalWeb"/>
        <w:numPr>
          <w:ilvl w:val="0"/>
          <w:numId w:val="20"/>
        </w:numPr>
        <w:rPr>
          <w:rFonts w:ascii="Arial" w:hAnsi="Arial" w:cs="Arial"/>
          <w:sz w:val="22"/>
          <w:szCs w:val="22"/>
        </w:rPr>
      </w:pPr>
      <w:r w:rsidRPr="009021B7">
        <w:rPr>
          <w:rFonts w:ascii="Arial" w:hAnsi="Arial" w:cs="Arial"/>
          <w:b/>
          <w:sz w:val="22"/>
          <w:szCs w:val="22"/>
        </w:rPr>
        <w:t>Funding system</w:t>
      </w:r>
      <w:r w:rsidRPr="009021B7">
        <w:rPr>
          <w:rFonts w:ascii="Arial" w:hAnsi="Arial" w:cs="Arial"/>
          <w:sz w:val="22"/>
          <w:szCs w:val="22"/>
        </w:rPr>
        <w:t xml:space="preserve">: Parts of the ESFA funding system do not provide sufficient flexibility to ensure that the supply side can fully meet the needs of the demand side. </w:t>
      </w:r>
    </w:p>
    <w:p w14:paraId="230507AE" w14:textId="12D22838" w:rsidR="004F5BC4" w:rsidRPr="009021B7" w:rsidRDefault="00202B66" w:rsidP="004A209F">
      <w:pPr>
        <w:pStyle w:val="NormalWeb"/>
        <w:numPr>
          <w:ilvl w:val="0"/>
          <w:numId w:val="20"/>
        </w:numPr>
        <w:rPr>
          <w:rFonts w:ascii="Arial" w:hAnsi="Arial" w:cs="Arial"/>
          <w:sz w:val="22"/>
          <w:szCs w:val="22"/>
        </w:rPr>
      </w:pPr>
      <w:r w:rsidRPr="009021B7">
        <w:rPr>
          <w:rFonts w:ascii="Arial" w:hAnsi="Arial" w:cs="Arial"/>
          <w:b/>
          <w:sz w:val="22"/>
          <w:szCs w:val="22"/>
        </w:rPr>
        <w:t>Timing and uncertainty of funding</w:t>
      </w:r>
      <w:r w:rsidRPr="009021B7">
        <w:rPr>
          <w:rFonts w:ascii="Arial" w:hAnsi="Arial" w:cs="Arial"/>
          <w:sz w:val="22"/>
          <w:szCs w:val="22"/>
        </w:rPr>
        <w:t xml:space="preserve">: The challenge for some existing </w:t>
      </w:r>
      <w:r w:rsidR="00133CFC">
        <w:rPr>
          <w:rFonts w:ascii="Arial" w:hAnsi="Arial" w:cs="Arial"/>
          <w:sz w:val="22"/>
          <w:szCs w:val="22"/>
        </w:rPr>
        <w:t>main</w:t>
      </w:r>
      <w:r w:rsidR="00133CFC" w:rsidRPr="009021B7">
        <w:rPr>
          <w:rFonts w:ascii="Arial" w:hAnsi="Arial" w:cs="Arial"/>
          <w:sz w:val="22"/>
          <w:szCs w:val="22"/>
        </w:rPr>
        <w:t xml:space="preserve"> </w:t>
      </w:r>
      <w:r w:rsidRPr="009021B7">
        <w:rPr>
          <w:rFonts w:ascii="Arial" w:hAnsi="Arial" w:cs="Arial"/>
          <w:sz w:val="22"/>
          <w:szCs w:val="22"/>
        </w:rPr>
        <w:t xml:space="preserve">contracting providers to access enough funds directly from </w:t>
      </w:r>
      <w:r w:rsidR="0071756B" w:rsidRPr="009021B7">
        <w:rPr>
          <w:rFonts w:ascii="Arial" w:hAnsi="Arial" w:cs="Arial"/>
          <w:sz w:val="22"/>
          <w:szCs w:val="22"/>
        </w:rPr>
        <w:t xml:space="preserve">the </w:t>
      </w:r>
      <w:r w:rsidRPr="009021B7">
        <w:rPr>
          <w:rFonts w:ascii="Arial" w:hAnsi="Arial" w:cs="Arial"/>
          <w:sz w:val="22"/>
          <w:szCs w:val="22"/>
        </w:rPr>
        <w:t xml:space="preserve">government at certain points of the year to meet the needs of the market. </w:t>
      </w:r>
    </w:p>
    <w:p w14:paraId="0E3CB16E" w14:textId="761745E0" w:rsidR="004F5BC4" w:rsidRPr="009021B7" w:rsidRDefault="00202B66" w:rsidP="004A209F">
      <w:pPr>
        <w:pStyle w:val="NormalWeb"/>
        <w:numPr>
          <w:ilvl w:val="0"/>
          <w:numId w:val="20"/>
        </w:numPr>
        <w:rPr>
          <w:rFonts w:ascii="Arial" w:hAnsi="Arial" w:cs="Arial"/>
          <w:sz w:val="22"/>
          <w:szCs w:val="22"/>
        </w:rPr>
      </w:pPr>
      <w:r w:rsidRPr="009021B7">
        <w:rPr>
          <w:rFonts w:ascii="Arial" w:hAnsi="Arial" w:cs="Arial"/>
          <w:b/>
          <w:sz w:val="22"/>
          <w:szCs w:val="22"/>
        </w:rPr>
        <w:t>Lack of direct funding</w:t>
      </w:r>
      <w:r w:rsidRPr="009021B7">
        <w:rPr>
          <w:rFonts w:ascii="Arial" w:hAnsi="Arial" w:cs="Arial"/>
          <w:sz w:val="22"/>
          <w:szCs w:val="22"/>
        </w:rPr>
        <w:t xml:space="preserve">: The challenge for providers to access funding directly from </w:t>
      </w:r>
      <w:r w:rsidR="0071756B" w:rsidRPr="009021B7">
        <w:rPr>
          <w:rFonts w:ascii="Arial" w:hAnsi="Arial" w:cs="Arial"/>
          <w:sz w:val="22"/>
          <w:szCs w:val="22"/>
        </w:rPr>
        <w:t xml:space="preserve">the </w:t>
      </w:r>
      <w:r w:rsidRPr="009021B7">
        <w:rPr>
          <w:rFonts w:ascii="Arial" w:hAnsi="Arial" w:cs="Arial"/>
          <w:sz w:val="22"/>
          <w:szCs w:val="22"/>
        </w:rPr>
        <w:t xml:space="preserve">government. </w:t>
      </w:r>
    </w:p>
    <w:p w14:paraId="2C48015E" w14:textId="5BF39B57" w:rsidR="004F5BC4" w:rsidRPr="009021B7" w:rsidRDefault="00202B66" w:rsidP="004A209F">
      <w:pPr>
        <w:pStyle w:val="NormalWeb"/>
        <w:numPr>
          <w:ilvl w:val="0"/>
          <w:numId w:val="20"/>
        </w:numPr>
        <w:rPr>
          <w:rFonts w:ascii="Arial" w:hAnsi="Arial" w:cs="Arial"/>
          <w:sz w:val="22"/>
          <w:szCs w:val="22"/>
        </w:rPr>
      </w:pPr>
      <w:r w:rsidRPr="009021B7">
        <w:rPr>
          <w:rFonts w:ascii="Arial" w:hAnsi="Arial" w:cs="Arial"/>
          <w:b/>
          <w:sz w:val="22"/>
          <w:szCs w:val="22"/>
        </w:rPr>
        <w:t>Primes</w:t>
      </w:r>
      <w:r w:rsidR="00A4458D">
        <w:rPr>
          <w:rFonts w:ascii="Arial" w:hAnsi="Arial" w:cs="Arial"/>
          <w:b/>
          <w:sz w:val="22"/>
          <w:szCs w:val="22"/>
        </w:rPr>
        <w:t>’</w:t>
      </w:r>
      <w:r w:rsidRPr="009021B7">
        <w:rPr>
          <w:rFonts w:ascii="Arial" w:hAnsi="Arial" w:cs="Arial"/>
          <w:b/>
          <w:sz w:val="22"/>
          <w:szCs w:val="22"/>
        </w:rPr>
        <w:t xml:space="preserve"> enhanced accountabilities</w:t>
      </w:r>
      <w:r w:rsidRPr="009021B7">
        <w:rPr>
          <w:rFonts w:ascii="Arial" w:hAnsi="Arial" w:cs="Arial"/>
          <w:sz w:val="22"/>
          <w:szCs w:val="22"/>
        </w:rPr>
        <w:t xml:space="preserve">: The requirement of the current funding rules for the </w:t>
      </w:r>
      <w:r w:rsidR="00133CFC">
        <w:rPr>
          <w:rFonts w:ascii="Arial" w:hAnsi="Arial" w:cs="Arial"/>
          <w:sz w:val="22"/>
          <w:szCs w:val="22"/>
        </w:rPr>
        <w:t>main</w:t>
      </w:r>
      <w:r w:rsidR="00133CFC" w:rsidRPr="009021B7">
        <w:rPr>
          <w:rFonts w:ascii="Arial" w:hAnsi="Arial" w:cs="Arial"/>
          <w:sz w:val="22"/>
          <w:szCs w:val="22"/>
        </w:rPr>
        <w:t xml:space="preserve"> </w:t>
      </w:r>
      <w:r w:rsidRPr="009021B7">
        <w:rPr>
          <w:rFonts w:ascii="Arial" w:hAnsi="Arial" w:cs="Arial"/>
          <w:sz w:val="22"/>
          <w:szCs w:val="22"/>
        </w:rPr>
        <w:t xml:space="preserve">provider to play a more significant role in both the delivery and the management of all their subcontracted provision. </w:t>
      </w:r>
    </w:p>
    <w:p w14:paraId="4C90FB9D" w14:textId="4C9C7C39" w:rsidR="004F5BC4" w:rsidRPr="009021B7" w:rsidRDefault="00202B66" w:rsidP="004A209F">
      <w:pPr>
        <w:pStyle w:val="NormalWeb"/>
        <w:numPr>
          <w:ilvl w:val="0"/>
          <w:numId w:val="20"/>
        </w:numPr>
        <w:rPr>
          <w:rFonts w:ascii="Arial" w:hAnsi="Arial" w:cs="Arial"/>
          <w:sz w:val="22"/>
          <w:szCs w:val="22"/>
        </w:rPr>
      </w:pPr>
      <w:r w:rsidRPr="009021B7">
        <w:rPr>
          <w:rFonts w:ascii="Arial" w:hAnsi="Arial" w:cs="Arial"/>
          <w:b/>
          <w:sz w:val="22"/>
          <w:szCs w:val="22"/>
        </w:rPr>
        <w:t>Reputational</w:t>
      </w:r>
      <w:r w:rsidRPr="009021B7">
        <w:rPr>
          <w:rFonts w:ascii="Arial" w:hAnsi="Arial" w:cs="Arial"/>
          <w:sz w:val="22"/>
          <w:szCs w:val="22"/>
        </w:rPr>
        <w:t>: Reputational issues around ‘top</w:t>
      </w:r>
      <w:r w:rsidR="0071756B" w:rsidRPr="009021B7">
        <w:rPr>
          <w:rFonts w:ascii="Arial" w:hAnsi="Arial" w:cs="Arial"/>
          <w:sz w:val="22"/>
          <w:szCs w:val="22"/>
        </w:rPr>
        <w:t>-</w:t>
      </w:r>
      <w:r w:rsidRPr="009021B7">
        <w:rPr>
          <w:rFonts w:ascii="Arial" w:hAnsi="Arial" w:cs="Arial"/>
          <w:sz w:val="22"/>
          <w:szCs w:val="22"/>
        </w:rPr>
        <w:t xml:space="preserve">slicing’ with the often perceived view that the management fee removes funds from learners. </w:t>
      </w:r>
    </w:p>
    <w:p w14:paraId="7B2888CF" w14:textId="5AAF029D" w:rsidR="00202B66" w:rsidRPr="009021B7" w:rsidRDefault="00202B66" w:rsidP="004A209F">
      <w:pPr>
        <w:pStyle w:val="NormalWeb"/>
        <w:numPr>
          <w:ilvl w:val="0"/>
          <w:numId w:val="20"/>
        </w:numPr>
        <w:rPr>
          <w:rFonts w:ascii="Arial" w:hAnsi="Arial" w:cs="Arial"/>
          <w:sz w:val="22"/>
          <w:szCs w:val="22"/>
        </w:rPr>
      </w:pPr>
      <w:r w:rsidRPr="009021B7">
        <w:rPr>
          <w:rFonts w:ascii="Arial" w:hAnsi="Arial" w:cs="Arial"/>
          <w:b/>
          <w:sz w:val="22"/>
          <w:szCs w:val="22"/>
        </w:rPr>
        <w:t>Lack of transparency</w:t>
      </w:r>
      <w:r w:rsidRPr="009021B7">
        <w:rPr>
          <w:rFonts w:ascii="Arial" w:hAnsi="Arial" w:cs="Arial"/>
          <w:sz w:val="22"/>
          <w:szCs w:val="22"/>
        </w:rPr>
        <w:t xml:space="preserve">: Mistrust by subcontractors that </w:t>
      </w:r>
      <w:r w:rsidR="00133CFC">
        <w:rPr>
          <w:rFonts w:ascii="Arial" w:hAnsi="Arial" w:cs="Arial"/>
          <w:sz w:val="22"/>
          <w:szCs w:val="22"/>
        </w:rPr>
        <w:t>main providers</w:t>
      </w:r>
      <w:r w:rsidR="00133CFC" w:rsidRPr="009021B7">
        <w:rPr>
          <w:rFonts w:ascii="Arial" w:hAnsi="Arial" w:cs="Arial"/>
          <w:sz w:val="22"/>
          <w:szCs w:val="22"/>
        </w:rPr>
        <w:t xml:space="preserve"> </w:t>
      </w:r>
      <w:r w:rsidRPr="009021B7">
        <w:rPr>
          <w:rFonts w:ascii="Arial" w:hAnsi="Arial" w:cs="Arial"/>
          <w:sz w:val="22"/>
          <w:szCs w:val="22"/>
        </w:rPr>
        <w:t>can justify their cost</w:t>
      </w:r>
      <w:r w:rsidR="00133CFC">
        <w:rPr>
          <w:rFonts w:ascii="Arial" w:hAnsi="Arial" w:cs="Arial"/>
          <w:sz w:val="22"/>
          <w:szCs w:val="22"/>
        </w:rPr>
        <w:t>.</w:t>
      </w:r>
    </w:p>
    <w:p w14:paraId="7294AC4A" w14:textId="5E0E3D55" w:rsidR="00B203C8" w:rsidRPr="004A209F" w:rsidRDefault="00B203C8" w:rsidP="004A209F">
      <w:pPr>
        <w:spacing w:line="240" w:lineRule="auto"/>
        <w:rPr>
          <w:rFonts w:ascii="Arial" w:hAnsi="Arial" w:cs="Arial"/>
          <w:b/>
          <w:bCs/>
          <w:color w:val="000000"/>
          <w:sz w:val="28"/>
        </w:rPr>
      </w:pPr>
    </w:p>
    <w:p w14:paraId="204403BA" w14:textId="77777777" w:rsidR="00CC3009" w:rsidRPr="004A209F" w:rsidRDefault="00CC3009" w:rsidP="004A209F">
      <w:pPr>
        <w:spacing w:line="240" w:lineRule="auto"/>
        <w:rPr>
          <w:rFonts w:ascii="Arial" w:hAnsi="Arial" w:cs="Arial"/>
          <w:b/>
        </w:rPr>
      </w:pPr>
      <w:r w:rsidRPr="004A209F">
        <w:rPr>
          <w:rFonts w:ascii="Arial" w:hAnsi="Arial" w:cs="Arial"/>
          <w:b/>
        </w:rPr>
        <w:t>Understanding and recognising the mains types of subcontracting</w:t>
      </w:r>
    </w:p>
    <w:p w14:paraId="4A745AEA" w14:textId="68931C30" w:rsidR="00CC3009" w:rsidRPr="004A209F" w:rsidRDefault="00CC3009" w:rsidP="004A209F">
      <w:pPr>
        <w:spacing w:line="240" w:lineRule="auto"/>
        <w:rPr>
          <w:rFonts w:ascii="Arial" w:hAnsi="Arial" w:cs="Arial"/>
        </w:rPr>
      </w:pPr>
      <w:r w:rsidRPr="004A209F">
        <w:rPr>
          <w:rFonts w:ascii="Arial" w:hAnsi="Arial" w:cs="Arial"/>
        </w:rPr>
        <w:t xml:space="preserve">A variety of terms have been used as a proxy for subcontracting, such as collaborative working </w:t>
      </w:r>
      <w:r w:rsidR="009021B7" w:rsidRPr="004A209F">
        <w:rPr>
          <w:rFonts w:ascii="Arial" w:hAnsi="Arial" w:cs="Arial"/>
        </w:rPr>
        <w:t>or partnership</w:t>
      </w:r>
      <w:r w:rsidRPr="004A209F">
        <w:rPr>
          <w:rFonts w:ascii="Arial" w:hAnsi="Arial" w:cs="Arial"/>
        </w:rPr>
        <w:t xml:space="preserve"> working as a couple of popular examples, although these examples are far from </w:t>
      </w:r>
      <w:r w:rsidRPr="004A209F">
        <w:rPr>
          <w:rFonts w:ascii="Arial" w:hAnsi="Arial" w:cs="Arial"/>
        </w:rPr>
        <w:lastRenderedPageBreak/>
        <w:t xml:space="preserve">exhaustive. Subcontracting comes in all shapes and sizes and is therefore at times difficult to define which is where confusion occurs to whether or not providers are meeting the funding rules or not. </w:t>
      </w:r>
      <w:r w:rsidR="009021B7">
        <w:rPr>
          <w:rFonts w:ascii="Arial" w:hAnsi="Arial" w:cs="Arial"/>
        </w:rPr>
        <w:t xml:space="preserve"> </w:t>
      </w:r>
      <w:r w:rsidRPr="004A209F">
        <w:rPr>
          <w:rFonts w:ascii="Arial" w:hAnsi="Arial" w:cs="Arial"/>
        </w:rPr>
        <w:t>Subcontracting can be seen in two different distinct models:</w:t>
      </w:r>
    </w:p>
    <w:p w14:paraId="55B2EA2C" w14:textId="77777777" w:rsidR="00CC3009" w:rsidRPr="00827814" w:rsidRDefault="00CC3009" w:rsidP="004A209F">
      <w:pPr>
        <w:spacing w:line="240" w:lineRule="auto"/>
        <w:rPr>
          <w:rFonts w:ascii="Arial" w:hAnsi="Arial" w:cs="Arial"/>
          <w:b/>
          <w:i/>
          <w:sz w:val="6"/>
        </w:rPr>
      </w:pPr>
    </w:p>
    <w:p w14:paraId="6CD0A2FD" w14:textId="7B3D000F" w:rsidR="00CC3009" w:rsidRPr="004A209F" w:rsidRDefault="00CC3009" w:rsidP="004A209F">
      <w:pPr>
        <w:spacing w:line="240" w:lineRule="auto"/>
        <w:rPr>
          <w:rFonts w:ascii="Arial" w:hAnsi="Arial" w:cs="Arial"/>
        </w:rPr>
      </w:pPr>
      <w:r w:rsidRPr="004A209F">
        <w:rPr>
          <w:rFonts w:ascii="Arial" w:hAnsi="Arial" w:cs="Arial"/>
          <w:b/>
          <w:i/>
        </w:rPr>
        <w:t>End to End Subcontracting</w:t>
      </w:r>
      <w:r w:rsidRPr="004A209F">
        <w:rPr>
          <w:rFonts w:ascii="Arial" w:hAnsi="Arial" w:cs="Arial"/>
        </w:rPr>
        <w:t xml:space="preserve"> – In essence</w:t>
      </w:r>
      <w:r w:rsidR="0071756B">
        <w:rPr>
          <w:rFonts w:ascii="Arial" w:hAnsi="Arial" w:cs="Arial"/>
        </w:rPr>
        <w:t>,</w:t>
      </w:r>
      <w:r w:rsidRPr="004A209F">
        <w:rPr>
          <w:rFonts w:ascii="Arial" w:hAnsi="Arial" w:cs="Arial"/>
        </w:rPr>
        <w:t xml:space="preserve"> this model is where the main provider contracts out a portion of their funding allocation to another provider and that other provider undertakes all the delivery of the provision. This includes recruiting learners and delivering the training independently from the main provider. This has been a model which has operated within the sector for many years across both apprenticeships and on AEB. However, changes to the ESFA funding rules for levy</w:t>
      </w:r>
      <w:r w:rsidR="0071756B">
        <w:rPr>
          <w:rFonts w:ascii="Arial" w:hAnsi="Arial" w:cs="Arial"/>
        </w:rPr>
        <w:t>-</w:t>
      </w:r>
      <w:r w:rsidRPr="004A209F">
        <w:rPr>
          <w:rFonts w:ascii="Arial" w:hAnsi="Arial" w:cs="Arial"/>
        </w:rPr>
        <w:t>funded apprenticeship starts from May 2017 and subsequently for non-levy funded apprenticeships from January 2018 has driven down the volumes of this type of subcontracting relationship significantly. Some of this type</w:t>
      </w:r>
      <w:r w:rsidR="00827814">
        <w:rPr>
          <w:rFonts w:ascii="Arial" w:hAnsi="Arial" w:cs="Arial"/>
        </w:rPr>
        <w:t xml:space="preserve"> of</w:t>
      </w:r>
      <w:r w:rsidRPr="004A209F">
        <w:rPr>
          <w:rFonts w:ascii="Arial" w:hAnsi="Arial" w:cs="Arial"/>
        </w:rPr>
        <w:t xml:space="preserve"> subcontracting remains in the apprenticeship space, mainly through levy</w:t>
      </w:r>
      <w:r w:rsidR="0071756B">
        <w:rPr>
          <w:rFonts w:ascii="Arial" w:hAnsi="Arial" w:cs="Arial"/>
        </w:rPr>
        <w:t>-</w:t>
      </w:r>
      <w:r w:rsidRPr="004A209F">
        <w:rPr>
          <w:rFonts w:ascii="Arial" w:hAnsi="Arial" w:cs="Arial"/>
        </w:rPr>
        <w:t xml:space="preserve">funded provision where a main provider delivers occupational provision and manages a supply chain for the employer which includes other occupational provision through a prime provider model. Aside from apprenticeships, end to end subcontracting is still the main type of subcontracting operating within the AEB marketplace. </w:t>
      </w:r>
      <w:r w:rsidR="000F72E3">
        <w:rPr>
          <w:rFonts w:ascii="Arial" w:hAnsi="Arial" w:cs="Arial"/>
        </w:rPr>
        <w:t>With all employers moving to the Apprenticeship Service and all providers on the RoATP able to access funding directly, this is another reason which will impact the volume of apprenticeship subcontracting being delivered moving into 2020 and beyond.</w:t>
      </w:r>
    </w:p>
    <w:p w14:paraId="1B09B7E7" w14:textId="77777777" w:rsidR="00CC3009" w:rsidRPr="004A209F" w:rsidRDefault="00CC3009" w:rsidP="004A209F">
      <w:pPr>
        <w:pStyle w:val="ListParagraph"/>
        <w:spacing w:line="240" w:lineRule="auto"/>
        <w:rPr>
          <w:rFonts w:ascii="Arial" w:hAnsi="Arial" w:cs="Arial"/>
          <w:sz w:val="6"/>
        </w:rPr>
      </w:pPr>
    </w:p>
    <w:p w14:paraId="5EE0D349" w14:textId="03A4C299" w:rsidR="00CC3009" w:rsidRPr="004A209F" w:rsidRDefault="00CC3009" w:rsidP="004A209F">
      <w:pPr>
        <w:spacing w:line="240" w:lineRule="auto"/>
        <w:rPr>
          <w:rFonts w:ascii="Arial" w:hAnsi="Arial" w:cs="Arial"/>
        </w:rPr>
      </w:pPr>
      <w:r w:rsidRPr="004A209F">
        <w:rPr>
          <w:rFonts w:ascii="Arial" w:hAnsi="Arial" w:cs="Arial"/>
          <w:b/>
          <w:i/>
        </w:rPr>
        <w:t>Specialist Subcontracting</w:t>
      </w:r>
      <w:r w:rsidRPr="004A209F">
        <w:rPr>
          <w:rFonts w:ascii="Arial" w:hAnsi="Arial" w:cs="Arial"/>
        </w:rPr>
        <w:t xml:space="preserve"> – specialist subcontracting is an area which has developed over the last couple of years and is the model of subcontracting which now operates within the apprenticeship marketplace. In essence</w:t>
      </w:r>
      <w:r w:rsidR="0071756B">
        <w:rPr>
          <w:rFonts w:ascii="Arial" w:hAnsi="Arial" w:cs="Arial"/>
        </w:rPr>
        <w:t>,</w:t>
      </w:r>
      <w:r w:rsidRPr="004A209F">
        <w:rPr>
          <w:rFonts w:ascii="Arial" w:hAnsi="Arial" w:cs="Arial"/>
        </w:rPr>
        <w:t xml:space="preserve"> this is where the main provider brings in a specialist service from a subcontractor. This might be the delivery of a specific specialist element within an apprenticeship standard. A good example of this might be where the main provider is delivering the Level 5 Human Resources (HR) Consultant / Partner apprenticeship standard which includes the mandatory CIPD level 5 Intermediate Diploma in Human Resource Management and the main provider cannot become an accredited CIPD centre in their own right. In this example</w:t>
      </w:r>
      <w:r w:rsidR="0071756B">
        <w:rPr>
          <w:rFonts w:ascii="Arial" w:hAnsi="Arial" w:cs="Arial"/>
        </w:rPr>
        <w:t>,</w:t>
      </w:r>
      <w:r w:rsidRPr="004A209F">
        <w:rPr>
          <w:rFonts w:ascii="Arial" w:hAnsi="Arial" w:cs="Arial"/>
        </w:rPr>
        <w:t xml:space="preserve"> the main provider uses a subcontractor to deliver the mandatory qualification.</w:t>
      </w:r>
    </w:p>
    <w:p w14:paraId="72168476" w14:textId="77777777" w:rsidR="00CC3009" w:rsidRPr="004A209F" w:rsidRDefault="00CC3009" w:rsidP="004A209F">
      <w:pPr>
        <w:spacing w:line="240" w:lineRule="auto"/>
        <w:rPr>
          <w:rFonts w:ascii="Arial" w:hAnsi="Arial" w:cs="Arial"/>
          <w:sz w:val="2"/>
        </w:rPr>
      </w:pPr>
    </w:p>
    <w:p w14:paraId="4C68FE5D" w14:textId="77777777" w:rsidR="00CC3009" w:rsidRPr="004A209F" w:rsidRDefault="00CC3009" w:rsidP="004A209F">
      <w:pPr>
        <w:spacing w:line="240" w:lineRule="auto"/>
        <w:rPr>
          <w:rFonts w:ascii="Arial" w:hAnsi="Arial" w:cs="Arial"/>
          <w:b/>
          <w:sz w:val="2"/>
        </w:rPr>
      </w:pPr>
    </w:p>
    <w:p w14:paraId="64E4A71D" w14:textId="4BCE8249" w:rsidR="00CC3009" w:rsidRPr="004A209F" w:rsidRDefault="00CC3009" w:rsidP="004A209F">
      <w:pPr>
        <w:spacing w:line="240" w:lineRule="auto"/>
        <w:rPr>
          <w:rFonts w:ascii="Arial" w:hAnsi="Arial" w:cs="Arial"/>
          <w:b/>
        </w:rPr>
      </w:pPr>
      <w:r w:rsidRPr="004A209F">
        <w:rPr>
          <w:rFonts w:ascii="Arial" w:hAnsi="Arial" w:cs="Arial"/>
          <w:b/>
        </w:rPr>
        <w:t>What isn’t subcontracting</w:t>
      </w:r>
    </w:p>
    <w:p w14:paraId="210815FA" w14:textId="7E0FA508" w:rsidR="00CC3009" w:rsidRPr="004A209F" w:rsidRDefault="00CC3009" w:rsidP="004A209F">
      <w:pPr>
        <w:spacing w:line="240" w:lineRule="auto"/>
        <w:rPr>
          <w:rFonts w:ascii="Arial" w:hAnsi="Arial" w:cs="Arial"/>
        </w:rPr>
      </w:pPr>
      <w:r w:rsidRPr="004A209F">
        <w:rPr>
          <w:rFonts w:ascii="Arial" w:hAnsi="Arial" w:cs="Arial"/>
        </w:rPr>
        <w:t xml:space="preserve">It is important to recognise that many providers in the sector, including not just ITPs, but also FECs, HEIs and Employer-Providers use freelance tutors or associates to support in the delivery of their apprenticeship programme. Key reasons for this include the flexibility of not having a fixed cost overhead, but also to act as </w:t>
      </w:r>
      <w:r w:rsidR="0071756B">
        <w:rPr>
          <w:rFonts w:ascii="Arial" w:hAnsi="Arial" w:cs="Arial"/>
        </w:rPr>
        <w:t xml:space="preserve">a </w:t>
      </w:r>
      <w:r w:rsidRPr="004A209F">
        <w:rPr>
          <w:rFonts w:ascii="Arial" w:hAnsi="Arial" w:cs="Arial"/>
        </w:rPr>
        <w:t xml:space="preserve">supply resource to enable providers to scale up quickly to meet the demands of employers. </w:t>
      </w:r>
      <w:r>
        <w:rPr>
          <w:rFonts w:ascii="Arial" w:hAnsi="Arial" w:cs="Arial"/>
        </w:rPr>
        <w:t xml:space="preserve"> </w:t>
      </w:r>
      <w:r w:rsidRPr="004A209F">
        <w:rPr>
          <w:rFonts w:ascii="Arial" w:hAnsi="Arial" w:cs="Arial"/>
        </w:rPr>
        <w:t xml:space="preserve">It is important to be clear that in the past some providers have established subcontracting arrangements for Advanced Learner Loans, but labelled these as “associate arrangements” in an attempted workaround to bypass funding rules which stopped the practice of subcontracting for that specific funding stream.  The key thing to explore here is not the label given to the arrangement, but the relationship and activity that takes place behind it which is critical to understand what is a subcontract under another name and what is a </w:t>
      </w:r>
      <w:r w:rsidRPr="004A209F">
        <w:rPr>
          <w:rFonts w:ascii="Arial" w:hAnsi="Arial" w:cs="Arial"/>
          <w:b/>
          <w:i/>
        </w:rPr>
        <w:t>contract for service</w:t>
      </w:r>
      <w:r w:rsidRPr="004A209F">
        <w:rPr>
          <w:rFonts w:ascii="Arial" w:hAnsi="Arial" w:cs="Arial"/>
        </w:rPr>
        <w:t xml:space="preserve">. </w:t>
      </w:r>
    </w:p>
    <w:p w14:paraId="7976A41B" w14:textId="31CE955E" w:rsidR="00133CFC" w:rsidRPr="004A209F" w:rsidRDefault="00CC3009" w:rsidP="004A209F">
      <w:pPr>
        <w:spacing w:line="240" w:lineRule="auto"/>
        <w:rPr>
          <w:rFonts w:ascii="Arial" w:hAnsi="Arial" w:cs="Arial"/>
        </w:rPr>
      </w:pPr>
      <w:r w:rsidRPr="004A209F">
        <w:rPr>
          <w:rFonts w:ascii="Arial" w:hAnsi="Arial" w:cs="Arial"/>
        </w:rPr>
        <w:t xml:space="preserve">A contract for service being either an individual or an arrangement with a third party organisation to draft in freelance delivery staff to support a provider with the delivery of their programme. This arrangement is purely around providing extra staffing capacity to help deliver the programme to meet the needs of the employer. The staff may not be employed directly by the main provider but clearly work under the control of the main provider, utilising the main provider’s facilities, resources and materials to support the delivery of </w:t>
      </w:r>
      <w:r w:rsidR="0071756B">
        <w:rPr>
          <w:rFonts w:ascii="Arial" w:hAnsi="Arial" w:cs="Arial"/>
        </w:rPr>
        <w:t xml:space="preserve">the </w:t>
      </w:r>
      <w:r w:rsidRPr="004A209F">
        <w:rPr>
          <w:rFonts w:ascii="Arial" w:hAnsi="Arial" w:cs="Arial"/>
        </w:rPr>
        <w:t xml:space="preserve">programme. A parallel example </w:t>
      </w:r>
      <w:r w:rsidR="0071756B">
        <w:rPr>
          <w:rFonts w:ascii="Arial" w:hAnsi="Arial" w:cs="Arial"/>
        </w:rPr>
        <w:t>of</w:t>
      </w:r>
      <w:r w:rsidRPr="004A209F">
        <w:rPr>
          <w:rFonts w:ascii="Arial" w:hAnsi="Arial" w:cs="Arial"/>
        </w:rPr>
        <w:t xml:space="preserve"> this is where school contracts in a supply teacher to help cover in a period of staff absence or sickness. </w:t>
      </w:r>
    </w:p>
    <w:p w14:paraId="1775E0F6" w14:textId="5D45085F" w:rsidR="00CC3009" w:rsidRPr="00133CFC" w:rsidRDefault="00CC3009" w:rsidP="00133CFC">
      <w:pPr>
        <w:spacing w:line="240" w:lineRule="auto"/>
        <w:rPr>
          <w:rFonts w:ascii="Arial" w:hAnsi="Arial" w:cs="Arial"/>
          <w:b/>
          <w:bCs/>
          <w:color w:val="000000"/>
          <w:sz w:val="12"/>
        </w:rPr>
      </w:pPr>
    </w:p>
    <w:p w14:paraId="2A20DDCA" w14:textId="6AE077C0" w:rsidR="00056C10" w:rsidRPr="00564545" w:rsidRDefault="00EE7173" w:rsidP="00564545">
      <w:pPr>
        <w:rPr>
          <w:rFonts w:ascii="Arial" w:hAnsi="Arial" w:cs="Arial"/>
          <w:b/>
          <w:bCs/>
          <w:color w:val="000000"/>
          <w:sz w:val="24"/>
        </w:rPr>
      </w:pPr>
      <w:r w:rsidRPr="00564545">
        <w:rPr>
          <w:rFonts w:ascii="Arial" w:hAnsi="Arial" w:cs="Arial"/>
          <w:b/>
          <w:bCs/>
          <w:color w:val="000000"/>
          <w:sz w:val="24"/>
        </w:rPr>
        <w:lastRenderedPageBreak/>
        <w:t>Expectations of</w:t>
      </w:r>
      <w:r w:rsidR="00056C10" w:rsidRPr="00564545">
        <w:rPr>
          <w:rFonts w:ascii="Arial" w:hAnsi="Arial" w:cs="Arial"/>
          <w:b/>
          <w:bCs/>
          <w:color w:val="000000"/>
          <w:sz w:val="24"/>
        </w:rPr>
        <w:t xml:space="preserve"> a </w:t>
      </w:r>
      <w:r w:rsidR="000241F0">
        <w:rPr>
          <w:rFonts w:ascii="Arial" w:hAnsi="Arial" w:cs="Arial"/>
          <w:b/>
          <w:bCs/>
          <w:color w:val="000000"/>
          <w:sz w:val="24"/>
        </w:rPr>
        <w:t>main (</w:t>
      </w:r>
      <w:r w:rsidR="00663F08" w:rsidRPr="00564545">
        <w:rPr>
          <w:rFonts w:ascii="Arial" w:hAnsi="Arial" w:cs="Arial"/>
          <w:b/>
          <w:bCs/>
          <w:color w:val="000000"/>
          <w:sz w:val="24"/>
        </w:rPr>
        <w:t>prime</w:t>
      </w:r>
      <w:r w:rsidR="000241F0">
        <w:rPr>
          <w:rFonts w:ascii="Arial" w:hAnsi="Arial" w:cs="Arial"/>
          <w:b/>
          <w:bCs/>
          <w:color w:val="000000"/>
          <w:sz w:val="24"/>
        </w:rPr>
        <w:t>)</w:t>
      </w:r>
      <w:r w:rsidR="00663F08" w:rsidRPr="00564545">
        <w:rPr>
          <w:rFonts w:ascii="Arial" w:hAnsi="Arial" w:cs="Arial"/>
          <w:b/>
          <w:bCs/>
          <w:color w:val="000000"/>
          <w:sz w:val="24"/>
        </w:rPr>
        <w:t xml:space="preserve"> </w:t>
      </w:r>
      <w:r w:rsidR="00056C10" w:rsidRPr="00564545">
        <w:rPr>
          <w:rFonts w:ascii="Arial" w:hAnsi="Arial" w:cs="Arial"/>
          <w:b/>
          <w:bCs/>
          <w:color w:val="000000"/>
          <w:sz w:val="24"/>
        </w:rPr>
        <w:t>provider</w:t>
      </w:r>
    </w:p>
    <w:p w14:paraId="2A20DDCB" w14:textId="4A83E169" w:rsidR="00E329C3" w:rsidRPr="007339F1" w:rsidRDefault="00056C10" w:rsidP="00056C10">
      <w:pPr>
        <w:pStyle w:val="NormalWeb"/>
        <w:rPr>
          <w:rFonts w:ascii="Arial" w:hAnsi="Arial" w:cs="Arial"/>
          <w:sz w:val="22"/>
          <w:szCs w:val="22"/>
        </w:rPr>
      </w:pPr>
      <w:r w:rsidRPr="00782EB3">
        <w:rPr>
          <w:rFonts w:ascii="Arial" w:hAnsi="Arial" w:cs="Arial"/>
          <w:sz w:val="22"/>
          <w:szCs w:val="22"/>
        </w:rPr>
        <w:t xml:space="preserve">A </w:t>
      </w:r>
      <w:r w:rsidR="00995204" w:rsidRPr="00782EB3">
        <w:rPr>
          <w:rFonts w:ascii="Arial" w:hAnsi="Arial" w:cs="Arial"/>
          <w:sz w:val="22"/>
          <w:szCs w:val="22"/>
        </w:rPr>
        <w:t>p</w:t>
      </w:r>
      <w:r w:rsidR="00F70632" w:rsidRPr="00782EB3">
        <w:rPr>
          <w:rFonts w:ascii="Arial" w:hAnsi="Arial" w:cs="Arial"/>
          <w:sz w:val="22"/>
          <w:szCs w:val="22"/>
        </w:rPr>
        <w:t>rime-</w:t>
      </w:r>
      <w:r w:rsidRPr="00782EB3">
        <w:rPr>
          <w:rFonts w:ascii="Arial" w:hAnsi="Arial" w:cs="Arial"/>
          <w:sz w:val="22"/>
          <w:szCs w:val="22"/>
        </w:rPr>
        <w:t>subcontract</w:t>
      </w:r>
      <w:r w:rsidR="00F70632" w:rsidRPr="00782EB3">
        <w:rPr>
          <w:rFonts w:ascii="Arial" w:hAnsi="Arial" w:cs="Arial"/>
          <w:sz w:val="22"/>
          <w:szCs w:val="22"/>
        </w:rPr>
        <w:t xml:space="preserve">or </w:t>
      </w:r>
      <w:r w:rsidRPr="00782EB3">
        <w:rPr>
          <w:rFonts w:ascii="Arial" w:hAnsi="Arial" w:cs="Arial"/>
          <w:sz w:val="22"/>
          <w:szCs w:val="22"/>
        </w:rPr>
        <w:t>relationship should not be solely a vehicle to access funding. It should be a tangible</w:t>
      </w:r>
      <w:r w:rsidR="009C0FCA" w:rsidRPr="00782EB3">
        <w:rPr>
          <w:rFonts w:ascii="Arial" w:hAnsi="Arial" w:cs="Arial"/>
          <w:sz w:val="22"/>
          <w:szCs w:val="22"/>
        </w:rPr>
        <w:t>,</w:t>
      </w:r>
      <w:r w:rsidRPr="00782EB3">
        <w:rPr>
          <w:rFonts w:ascii="Arial" w:hAnsi="Arial" w:cs="Arial"/>
          <w:sz w:val="22"/>
          <w:szCs w:val="22"/>
        </w:rPr>
        <w:t xml:space="preserve"> healthy </w:t>
      </w:r>
      <w:r w:rsidR="009C0FCA" w:rsidRPr="00782EB3">
        <w:rPr>
          <w:rFonts w:ascii="Arial" w:hAnsi="Arial" w:cs="Arial"/>
          <w:sz w:val="22"/>
          <w:szCs w:val="22"/>
        </w:rPr>
        <w:t xml:space="preserve">and </w:t>
      </w:r>
      <w:r w:rsidRPr="00782EB3">
        <w:rPr>
          <w:rFonts w:ascii="Arial" w:hAnsi="Arial" w:cs="Arial"/>
          <w:sz w:val="22"/>
          <w:szCs w:val="22"/>
        </w:rPr>
        <w:t xml:space="preserve">collaborative partnership </w:t>
      </w:r>
      <w:r w:rsidR="009C0FCA" w:rsidRPr="00782EB3">
        <w:rPr>
          <w:rFonts w:ascii="Arial" w:hAnsi="Arial" w:cs="Arial"/>
          <w:sz w:val="22"/>
          <w:szCs w:val="22"/>
        </w:rPr>
        <w:t>between the</w:t>
      </w:r>
      <w:r w:rsidR="00995204" w:rsidRPr="00782EB3">
        <w:rPr>
          <w:rFonts w:ascii="Arial" w:hAnsi="Arial" w:cs="Arial"/>
          <w:sz w:val="22"/>
          <w:szCs w:val="22"/>
        </w:rPr>
        <w:t xml:space="preserve"> </w:t>
      </w:r>
      <w:r w:rsidR="00D3071B" w:rsidRPr="00782EB3">
        <w:rPr>
          <w:rFonts w:ascii="Arial" w:hAnsi="Arial" w:cs="Arial"/>
          <w:sz w:val="22"/>
          <w:szCs w:val="22"/>
        </w:rPr>
        <w:t xml:space="preserve">prime </w:t>
      </w:r>
      <w:r w:rsidRPr="00782EB3">
        <w:rPr>
          <w:rFonts w:ascii="Arial" w:hAnsi="Arial" w:cs="Arial"/>
          <w:sz w:val="22"/>
          <w:szCs w:val="22"/>
        </w:rPr>
        <w:t xml:space="preserve">provider and its supply chain. This partnership should be fair and transparent and </w:t>
      </w:r>
      <w:r w:rsidR="009C0FCA" w:rsidRPr="00782EB3">
        <w:rPr>
          <w:rFonts w:ascii="Arial" w:hAnsi="Arial" w:cs="Arial"/>
          <w:sz w:val="22"/>
          <w:szCs w:val="22"/>
        </w:rPr>
        <w:t xml:space="preserve">we have produced a list of example best practice activity which the </w:t>
      </w:r>
      <w:r w:rsidR="00663F08" w:rsidRPr="00782EB3">
        <w:rPr>
          <w:rFonts w:ascii="Arial" w:hAnsi="Arial" w:cs="Arial"/>
          <w:sz w:val="22"/>
          <w:szCs w:val="22"/>
        </w:rPr>
        <w:t xml:space="preserve">prime </w:t>
      </w:r>
      <w:r w:rsidR="009C0FCA" w:rsidRPr="00782EB3">
        <w:rPr>
          <w:rFonts w:ascii="Arial" w:hAnsi="Arial" w:cs="Arial"/>
          <w:sz w:val="22"/>
          <w:szCs w:val="22"/>
        </w:rPr>
        <w:t xml:space="preserve">provider </w:t>
      </w:r>
      <w:r w:rsidR="00EE7173" w:rsidRPr="00782EB3">
        <w:rPr>
          <w:rFonts w:ascii="Arial" w:hAnsi="Arial" w:cs="Arial"/>
          <w:sz w:val="22"/>
          <w:szCs w:val="22"/>
        </w:rPr>
        <w:t xml:space="preserve">should be undertaking/offering </w:t>
      </w:r>
      <w:r w:rsidR="009C0FCA" w:rsidRPr="00782EB3">
        <w:rPr>
          <w:rFonts w:ascii="Arial" w:hAnsi="Arial" w:cs="Arial"/>
          <w:sz w:val="22"/>
          <w:szCs w:val="22"/>
        </w:rPr>
        <w:t xml:space="preserve">to its supply chain as part </w:t>
      </w:r>
      <w:r w:rsidR="009C0FCA" w:rsidRPr="007339F1">
        <w:rPr>
          <w:rFonts w:ascii="Arial" w:hAnsi="Arial" w:cs="Arial"/>
          <w:sz w:val="22"/>
          <w:szCs w:val="22"/>
        </w:rPr>
        <w:t>of their agreement:</w:t>
      </w:r>
    </w:p>
    <w:p w14:paraId="406B645F" w14:textId="72F65837" w:rsidR="003502A3" w:rsidRPr="007339F1" w:rsidRDefault="003502A3" w:rsidP="00056C10">
      <w:pPr>
        <w:pStyle w:val="NormalWeb"/>
        <w:rPr>
          <w:rFonts w:ascii="Arial" w:hAnsi="Arial" w:cs="Arial"/>
          <w:sz w:val="22"/>
          <w:szCs w:val="22"/>
        </w:rPr>
      </w:pPr>
    </w:p>
    <w:p w14:paraId="57B4B767" w14:textId="77777777" w:rsidR="003502A3" w:rsidRPr="00A034D1" w:rsidRDefault="003502A3" w:rsidP="003502A3">
      <w:pPr>
        <w:pStyle w:val="NormalWeb"/>
        <w:rPr>
          <w:rFonts w:ascii="Arial" w:hAnsi="Arial" w:cs="Arial"/>
          <w:b/>
          <w:bCs/>
          <w:i/>
          <w:iCs/>
          <w:color w:val="000000"/>
          <w:sz w:val="22"/>
          <w:szCs w:val="22"/>
        </w:rPr>
      </w:pPr>
      <w:r w:rsidRPr="00A034D1">
        <w:rPr>
          <w:rFonts w:ascii="Arial" w:hAnsi="Arial" w:cs="Arial"/>
          <w:b/>
          <w:bCs/>
          <w:i/>
          <w:iCs/>
          <w:color w:val="000000"/>
          <w:sz w:val="22"/>
          <w:szCs w:val="22"/>
        </w:rPr>
        <w:t>Acceptable fees, charges and additional services</w:t>
      </w:r>
    </w:p>
    <w:p w14:paraId="4AECC65B" w14:textId="77777777" w:rsidR="003502A3" w:rsidRPr="00A30859" w:rsidRDefault="003502A3" w:rsidP="003502A3">
      <w:pPr>
        <w:pStyle w:val="NormalWeb"/>
        <w:rPr>
          <w:rFonts w:ascii="Arial" w:hAnsi="Arial" w:cs="Arial"/>
          <w:bCs/>
          <w:color w:val="000000"/>
          <w:sz w:val="22"/>
          <w:szCs w:val="22"/>
        </w:rPr>
      </w:pPr>
      <w:r w:rsidRPr="00A30859">
        <w:rPr>
          <w:rFonts w:ascii="Arial" w:hAnsi="Arial" w:cs="Arial"/>
          <w:bCs/>
          <w:color w:val="000000"/>
          <w:sz w:val="22"/>
          <w:szCs w:val="22"/>
        </w:rPr>
        <w:t xml:space="preserve">The greater the proportion of the funding not being spent directly on training the apprentice then by default the likelihood that the quality of the training and experience of the individual apprentice is negatively impacted.  This is somewhat of a self-fulling prophecy, with the more funding being retained by the prime provider meaning the less the subcontractor has to spend on the quality of the programme. If prime providers carry out appropriately robust due diligence and adequately oversee the quality assurance of the subcontractor’s delivery, rather than operating at arm’s length then poor practice and poor quality should be quickly eradicated and managed out of our apprenticeship ecosystem. </w:t>
      </w:r>
    </w:p>
    <w:p w14:paraId="78826606" w14:textId="77777777" w:rsidR="003502A3" w:rsidRPr="004A209F" w:rsidRDefault="003502A3" w:rsidP="003502A3">
      <w:pPr>
        <w:pStyle w:val="NormalWeb"/>
        <w:rPr>
          <w:rFonts w:ascii="Arial" w:hAnsi="Arial" w:cs="Arial"/>
          <w:bCs/>
          <w:color w:val="000000"/>
          <w:sz w:val="14"/>
          <w:szCs w:val="22"/>
        </w:rPr>
      </w:pPr>
    </w:p>
    <w:p w14:paraId="2F16C52E" w14:textId="2FE2FE38" w:rsidR="00F832B9" w:rsidRPr="00A30859" w:rsidRDefault="003502A3" w:rsidP="003502A3">
      <w:pPr>
        <w:pStyle w:val="NormalWeb"/>
        <w:rPr>
          <w:rFonts w:ascii="Arial" w:hAnsi="Arial" w:cs="Arial"/>
          <w:bCs/>
          <w:color w:val="000000"/>
          <w:sz w:val="22"/>
          <w:szCs w:val="22"/>
        </w:rPr>
      </w:pPr>
      <w:r w:rsidRPr="00A30859">
        <w:rPr>
          <w:rFonts w:ascii="Arial" w:hAnsi="Arial" w:cs="Arial"/>
          <w:bCs/>
          <w:color w:val="000000"/>
          <w:sz w:val="22"/>
          <w:szCs w:val="22"/>
        </w:rPr>
        <w:t xml:space="preserve">Fees and charges should not exceed 20%. </w:t>
      </w:r>
      <w:r w:rsidR="00F832B9" w:rsidRPr="00A30859">
        <w:rPr>
          <w:rFonts w:ascii="Arial" w:hAnsi="Arial" w:cs="Arial"/>
          <w:bCs/>
          <w:color w:val="000000"/>
          <w:sz w:val="22"/>
          <w:szCs w:val="22"/>
        </w:rPr>
        <w:t xml:space="preserve">To be clear </w:t>
      </w:r>
      <w:r w:rsidRPr="00A30859">
        <w:rPr>
          <w:rFonts w:ascii="Arial" w:hAnsi="Arial" w:cs="Arial"/>
          <w:bCs/>
          <w:color w:val="000000"/>
          <w:sz w:val="22"/>
          <w:szCs w:val="22"/>
        </w:rPr>
        <w:t>20% should not be the ‘benchmark’ and in most cases will be less</w:t>
      </w:r>
      <w:r w:rsidR="00F832B9" w:rsidRPr="00A30859">
        <w:rPr>
          <w:rFonts w:ascii="Arial" w:hAnsi="Arial" w:cs="Arial"/>
          <w:bCs/>
          <w:color w:val="000000"/>
          <w:sz w:val="22"/>
          <w:szCs w:val="22"/>
        </w:rPr>
        <w:t xml:space="preserve"> and should be proportional to the service being delivered. </w:t>
      </w:r>
      <w:r w:rsidR="007339F1" w:rsidRPr="00A30859">
        <w:rPr>
          <w:rFonts w:ascii="Arial" w:hAnsi="Arial" w:cs="Arial"/>
          <w:bCs/>
          <w:color w:val="000000"/>
          <w:sz w:val="22"/>
          <w:szCs w:val="22"/>
        </w:rPr>
        <w:t xml:space="preserve"> Fees and charges should relate to the delivery of training and be separate from other payments to enhance the delivery, such as incentive payments for the cost of supporting younger apprentices, apprentices receiving uplifts, </w:t>
      </w:r>
      <w:r w:rsidR="00A30859">
        <w:rPr>
          <w:rFonts w:ascii="Arial" w:hAnsi="Arial" w:cs="Arial"/>
          <w:bCs/>
          <w:color w:val="000000"/>
          <w:sz w:val="22"/>
          <w:szCs w:val="22"/>
        </w:rPr>
        <w:t>learner</w:t>
      </w:r>
      <w:r w:rsidR="00A30859" w:rsidRPr="00A30859">
        <w:rPr>
          <w:rFonts w:ascii="Arial" w:hAnsi="Arial" w:cs="Arial"/>
          <w:bCs/>
          <w:color w:val="000000"/>
          <w:sz w:val="22"/>
          <w:szCs w:val="22"/>
        </w:rPr>
        <w:t xml:space="preserve"> </w:t>
      </w:r>
      <w:r w:rsidR="007339F1" w:rsidRPr="00A30859">
        <w:rPr>
          <w:rFonts w:ascii="Arial" w:hAnsi="Arial" w:cs="Arial"/>
          <w:bCs/>
          <w:color w:val="000000"/>
          <w:sz w:val="22"/>
          <w:szCs w:val="22"/>
        </w:rPr>
        <w:t xml:space="preserve">support payments or residential accommodation costs. </w:t>
      </w:r>
      <w:r w:rsidR="00F425D4" w:rsidRPr="00A30859">
        <w:rPr>
          <w:rFonts w:ascii="Arial" w:hAnsi="Arial" w:cs="Arial"/>
          <w:bCs/>
          <w:color w:val="000000"/>
          <w:sz w:val="22"/>
          <w:szCs w:val="22"/>
        </w:rPr>
        <w:t>Main providers should be open and transparent with fees and charges, publishing these clearly and in an accessible format on their public web site.</w:t>
      </w:r>
      <w:r w:rsidR="007339F1" w:rsidRPr="00A30859">
        <w:rPr>
          <w:rFonts w:ascii="Arial" w:hAnsi="Arial" w:cs="Arial"/>
          <w:bCs/>
          <w:color w:val="000000"/>
          <w:sz w:val="22"/>
          <w:szCs w:val="22"/>
        </w:rPr>
        <w:t xml:space="preserve"> </w:t>
      </w:r>
      <w:r w:rsidR="00F425D4" w:rsidRPr="00A30859">
        <w:rPr>
          <w:rFonts w:ascii="Arial" w:hAnsi="Arial" w:cs="Arial"/>
          <w:bCs/>
          <w:color w:val="000000"/>
          <w:sz w:val="22"/>
          <w:szCs w:val="22"/>
        </w:rPr>
        <w:t xml:space="preserve">Payment terms should be clearly defined in the contract between the main provider and subcontractor. There should be timely payment arrangements. </w:t>
      </w:r>
      <w:r w:rsidR="007339F1" w:rsidRPr="00A30859">
        <w:rPr>
          <w:rFonts w:ascii="Arial" w:hAnsi="Arial" w:cs="Arial"/>
          <w:bCs/>
          <w:color w:val="000000"/>
          <w:sz w:val="22"/>
          <w:szCs w:val="22"/>
        </w:rPr>
        <w:t xml:space="preserve">Furthermore, the exit process for when the partnership reaches its conclusion should be clearly documented and defined in the contractual agreement between the two parties.  </w:t>
      </w:r>
    </w:p>
    <w:p w14:paraId="50D5D075" w14:textId="395DCCA5" w:rsidR="00663F08" w:rsidRPr="007339F1" w:rsidRDefault="00663F08" w:rsidP="00056C10">
      <w:pPr>
        <w:pStyle w:val="NormalWeb"/>
        <w:rPr>
          <w:rFonts w:ascii="Arial" w:hAnsi="Arial" w:cs="Arial"/>
          <w:sz w:val="10"/>
          <w:szCs w:val="22"/>
        </w:rPr>
      </w:pPr>
    </w:p>
    <w:p w14:paraId="2A20DDCC" w14:textId="77777777" w:rsidR="00056C10" w:rsidRPr="004A209F" w:rsidRDefault="00056C10" w:rsidP="00056C10">
      <w:pPr>
        <w:pStyle w:val="NormalWeb"/>
        <w:rPr>
          <w:rFonts w:ascii="Arial" w:hAnsi="Arial" w:cs="Arial"/>
          <w:sz w:val="8"/>
          <w:szCs w:val="22"/>
        </w:rPr>
      </w:pPr>
    </w:p>
    <w:p w14:paraId="69B05BD7" w14:textId="77777777" w:rsidR="00782EB3" w:rsidRPr="00A034D1" w:rsidRDefault="00056C10" w:rsidP="004A209F">
      <w:pPr>
        <w:spacing w:after="0" w:line="240" w:lineRule="auto"/>
        <w:rPr>
          <w:rFonts w:ascii="Arial" w:hAnsi="Arial" w:cs="Arial"/>
          <w:i/>
        </w:rPr>
      </w:pPr>
      <w:r w:rsidRPr="00A034D1">
        <w:rPr>
          <w:rFonts w:ascii="Arial" w:hAnsi="Arial" w:cs="Arial"/>
          <w:b/>
          <w:i/>
        </w:rPr>
        <w:t xml:space="preserve">Quality </w:t>
      </w:r>
      <w:r w:rsidR="00565D10" w:rsidRPr="00A034D1">
        <w:rPr>
          <w:rFonts w:ascii="Arial" w:hAnsi="Arial" w:cs="Arial"/>
          <w:b/>
          <w:i/>
        </w:rPr>
        <w:t>m</w:t>
      </w:r>
      <w:r w:rsidRPr="00A034D1">
        <w:rPr>
          <w:rFonts w:ascii="Arial" w:hAnsi="Arial" w:cs="Arial"/>
          <w:b/>
          <w:i/>
        </w:rPr>
        <w:t>onitoring</w:t>
      </w:r>
      <w:r w:rsidRPr="00A034D1">
        <w:rPr>
          <w:rFonts w:ascii="Arial" w:hAnsi="Arial" w:cs="Arial"/>
          <w:i/>
        </w:rPr>
        <w:t xml:space="preserve"> </w:t>
      </w:r>
      <w:r w:rsidR="00565D10" w:rsidRPr="00A034D1">
        <w:rPr>
          <w:rFonts w:ascii="Arial" w:hAnsi="Arial" w:cs="Arial"/>
          <w:b/>
          <w:i/>
        </w:rPr>
        <w:t>and quality assurance</w:t>
      </w:r>
    </w:p>
    <w:p w14:paraId="2A20DDCD" w14:textId="4DBB1875" w:rsidR="00056C10" w:rsidRDefault="00782EB3" w:rsidP="004A209F">
      <w:pPr>
        <w:spacing w:after="0" w:line="240" w:lineRule="auto"/>
        <w:rPr>
          <w:rFonts w:ascii="Arial" w:hAnsi="Arial" w:cs="Arial"/>
        </w:rPr>
      </w:pPr>
      <w:r w:rsidRPr="007339F1">
        <w:rPr>
          <w:rFonts w:ascii="Arial" w:hAnsi="Arial" w:cs="Arial"/>
        </w:rPr>
        <w:t>T</w:t>
      </w:r>
      <w:r w:rsidR="00056C10" w:rsidRPr="007339F1">
        <w:rPr>
          <w:rFonts w:ascii="Arial" w:hAnsi="Arial" w:cs="Arial"/>
        </w:rPr>
        <w:t xml:space="preserve">he activities for monitoring and support will include quality visits, contract reviews and MIS meetings as standard, unannounced visits, themed reviews may also take place at greater frequency. Through these activities, the </w:t>
      </w:r>
      <w:r w:rsidR="00663F08" w:rsidRPr="007339F1">
        <w:rPr>
          <w:rFonts w:ascii="Arial" w:hAnsi="Arial" w:cs="Arial"/>
        </w:rPr>
        <w:t xml:space="preserve">prime </w:t>
      </w:r>
      <w:r w:rsidR="00056C10" w:rsidRPr="007339F1">
        <w:rPr>
          <w:rFonts w:ascii="Arial" w:hAnsi="Arial" w:cs="Arial"/>
        </w:rPr>
        <w:t xml:space="preserve">provider evaluates, monitors and where necessary sets target improvements and/or </w:t>
      </w:r>
      <w:r w:rsidR="00003D3B" w:rsidRPr="007339F1">
        <w:rPr>
          <w:rFonts w:ascii="Arial" w:hAnsi="Arial" w:cs="Arial"/>
        </w:rPr>
        <w:t>risk</w:t>
      </w:r>
      <w:r w:rsidR="0009552F" w:rsidRPr="007339F1">
        <w:rPr>
          <w:rFonts w:ascii="Arial" w:hAnsi="Arial" w:cs="Arial"/>
        </w:rPr>
        <w:t>-</w:t>
      </w:r>
      <w:r w:rsidR="00003D3B" w:rsidRPr="007339F1">
        <w:rPr>
          <w:rFonts w:ascii="Arial" w:hAnsi="Arial" w:cs="Arial"/>
        </w:rPr>
        <w:t xml:space="preserve">based intervention </w:t>
      </w:r>
      <w:r w:rsidR="00056C10" w:rsidRPr="007339F1">
        <w:rPr>
          <w:rFonts w:ascii="Arial" w:hAnsi="Arial" w:cs="Arial"/>
        </w:rPr>
        <w:t xml:space="preserve">plans, </w:t>
      </w:r>
      <w:r w:rsidR="00565D10" w:rsidRPr="007339F1">
        <w:rPr>
          <w:rFonts w:ascii="Arial" w:hAnsi="Arial" w:cs="Arial"/>
        </w:rPr>
        <w:t>that include (but not limited to) the following:</w:t>
      </w:r>
    </w:p>
    <w:p w14:paraId="1DA62549" w14:textId="77777777" w:rsidR="005321C9" w:rsidRPr="004A209F" w:rsidRDefault="005321C9" w:rsidP="004A209F">
      <w:pPr>
        <w:spacing w:after="0" w:line="240" w:lineRule="auto"/>
        <w:rPr>
          <w:rFonts w:ascii="Arial" w:hAnsi="Arial" w:cs="Arial"/>
          <w:b/>
          <w:sz w:val="12"/>
        </w:rPr>
      </w:pPr>
    </w:p>
    <w:p w14:paraId="2A20DDCE" w14:textId="77777777" w:rsidR="00056C10" w:rsidRPr="007339F1" w:rsidRDefault="00056C10" w:rsidP="00564545">
      <w:pPr>
        <w:pStyle w:val="ListParagraph"/>
        <w:numPr>
          <w:ilvl w:val="0"/>
          <w:numId w:val="15"/>
        </w:numPr>
        <w:spacing w:line="240" w:lineRule="auto"/>
        <w:rPr>
          <w:rFonts w:ascii="Arial" w:hAnsi="Arial" w:cs="Arial"/>
        </w:rPr>
      </w:pPr>
      <w:r w:rsidRPr="007339F1">
        <w:rPr>
          <w:rFonts w:ascii="Arial" w:hAnsi="Arial" w:cs="Arial"/>
        </w:rPr>
        <w:t>Progression and destination results</w:t>
      </w:r>
    </w:p>
    <w:p w14:paraId="2A20DDCF" w14:textId="77777777" w:rsidR="00056C10" w:rsidRPr="007339F1" w:rsidRDefault="00056C10" w:rsidP="00564545">
      <w:pPr>
        <w:pStyle w:val="ListParagraph"/>
        <w:numPr>
          <w:ilvl w:val="0"/>
          <w:numId w:val="15"/>
        </w:numPr>
        <w:spacing w:line="240" w:lineRule="auto"/>
        <w:rPr>
          <w:rFonts w:ascii="Arial" w:hAnsi="Arial" w:cs="Arial"/>
        </w:rPr>
      </w:pPr>
      <w:r w:rsidRPr="007339F1">
        <w:rPr>
          <w:rFonts w:ascii="Arial" w:hAnsi="Arial" w:cs="Arial"/>
        </w:rPr>
        <w:t>Equality &amp; Diversity Impact Measures (EDIMs)</w:t>
      </w:r>
    </w:p>
    <w:p w14:paraId="2A20DDD0" w14:textId="77777777"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Learner and employer progress and timely success</w:t>
      </w:r>
    </w:p>
    <w:p w14:paraId="2A20DDD1" w14:textId="77777777"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Learner satisfaction</w:t>
      </w:r>
    </w:p>
    <w:p w14:paraId="2A20DDD2" w14:textId="77777777"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Quality of Teaching, Learning and Assessment</w:t>
      </w:r>
    </w:p>
    <w:p w14:paraId="2A20DDD3" w14:textId="5B136E4D"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Support and training with CPD to improve their quality infrastructure inclusive of observations of teaching and learning staff</w:t>
      </w:r>
    </w:p>
    <w:p w14:paraId="2A20DDD4" w14:textId="77777777"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Approach to learner’s development in staying safe, Equality and Diversity, British Values,</w:t>
      </w:r>
    </w:p>
    <w:p w14:paraId="2A20DDD5" w14:textId="77777777"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Prevent Duty and wider employability skills</w:t>
      </w:r>
    </w:p>
    <w:p w14:paraId="2A20DDD6" w14:textId="77777777"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Performance against delivery profile and employer requirements</w:t>
      </w:r>
    </w:p>
    <w:p w14:paraId="2A20DDD7" w14:textId="58BD7FC0" w:rsidR="00056C10"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Audit compliance meets requirements of R</w:t>
      </w:r>
      <w:r w:rsidR="00663F08" w:rsidRPr="00564545">
        <w:rPr>
          <w:rFonts w:ascii="Arial" w:hAnsi="Arial" w:cs="Arial"/>
        </w:rPr>
        <w:t>o</w:t>
      </w:r>
      <w:r w:rsidRPr="00564545">
        <w:rPr>
          <w:rFonts w:ascii="Arial" w:hAnsi="Arial" w:cs="Arial"/>
        </w:rPr>
        <w:t>ATP</w:t>
      </w:r>
      <w:r w:rsidR="00CE4B66">
        <w:rPr>
          <w:rFonts w:ascii="Arial" w:hAnsi="Arial" w:cs="Arial"/>
        </w:rPr>
        <w:t xml:space="preserve"> and other similar frameworks</w:t>
      </w:r>
    </w:p>
    <w:p w14:paraId="76B820D0" w14:textId="5CB61C88" w:rsidR="00782EB3"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 xml:space="preserve">Policy review and support to enrich </w:t>
      </w:r>
    </w:p>
    <w:p w14:paraId="5A7E27C2" w14:textId="137B5C1E" w:rsidR="00782EB3" w:rsidRPr="00564545" w:rsidRDefault="00056C10" w:rsidP="00564545">
      <w:pPr>
        <w:pStyle w:val="ListParagraph"/>
        <w:numPr>
          <w:ilvl w:val="0"/>
          <w:numId w:val="15"/>
        </w:numPr>
        <w:spacing w:line="240" w:lineRule="auto"/>
        <w:rPr>
          <w:rFonts w:ascii="Arial" w:hAnsi="Arial" w:cs="Arial"/>
        </w:rPr>
      </w:pPr>
      <w:r w:rsidRPr="00564545">
        <w:rPr>
          <w:rFonts w:ascii="Arial" w:hAnsi="Arial" w:cs="Arial"/>
        </w:rPr>
        <w:t>Company Director checks as part of due diligence at 6</w:t>
      </w:r>
      <w:r w:rsidR="0009552F">
        <w:rPr>
          <w:rFonts w:ascii="Arial" w:hAnsi="Arial" w:cs="Arial"/>
        </w:rPr>
        <w:t>-</w:t>
      </w:r>
      <w:r w:rsidRPr="00564545">
        <w:rPr>
          <w:rFonts w:ascii="Arial" w:hAnsi="Arial" w:cs="Arial"/>
        </w:rPr>
        <w:t>month intervals</w:t>
      </w:r>
    </w:p>
    <w:p w14:paraId="586FF374" w14:textId="77777777" w:rsidR="00565D10" w:rsidRPr="00564545" w:rsidRDefault="00565D10" w:rsidP="00564545">
      <w:pPr>
        <w:pStyle w:val="ListParagraph"/>
        <w:numPr>
          <w:ilvl w:val="0"/>
          <w:numId w:val="15"/>
        </w:numPr>
        <w:spacing w:line="240" w:lineRule="auto"/>
        <w:rPr>
          <w:rFonts w:ascii="Arial" w:hAnsi="Arial" w:cs="Arial"/>
          <w:lang w:val="en-US"/>
        </w:rPr>
      </w:pPr>
      <w:r w:rsidRPr="00564545">
        <w:rPr>
          <w:rFonts w:ascii="Arial" w:hAnsi="Arial" w:cs="Arial"/>
          <w:lang w:val="en-US"/>
        </w:rPr>
        <w:t>Quality assurance sampling (announced and unannounced) including interviews with learners and staff.</w:t>
      </w:r>
    </w:p>
    <w:p w14:paraId="59DB9AA8" w14:textId="77777777" w:rsidR="00565D10" w:rsidRPr="00564545" w:rsidRDefault="00565D10" w:rsidP="00564545">
      <w:pPr>
        <w:pStyle w:val="ListParagraph"/>
        <w:numPr>
          <w:ilvl w:val="0"/>
          <w:numId w:val="15"/>
        </w:numPr>
        <w:spacing w:line="240" w:lineRule="auto"/>
        <w:rPr>
          <w:rFonts w:ascii="Arial" w:hAnsi="Arial" w:cs="Arial"/>
          <w:lang w:val="en-US"/>
        </w:rPr>
      </w:pPr>
      <w:r w:rsidRPr="00564545">
        <w:rPr>
          <w:rFonts w:ascii="Arial" w:hAnsi="Arial" w:cs="Arial"/>
          <w:lang w:val="en-US"/>
        </w:rPr>
        <w:t>Direct observation training, advice and guidance</w:t>
      </w:r>
    </w:p>
    <w:p w14:paraId="58C8FFFD" w14:textId="77777777" w:rsidR="00565D10" w:rsidRPr="00564545" w:rsidRDefault="00565D10" w:rsidP="00564545">
      <w:pPr>
        <w:pStyle w:val="ListParagraph"/>
        <w:numPr>
          <w:ilvl w:val="0"/>
          <w:numId w:val="15"/>
        </w:numPr>
        <w:spacing w:line="240" w:lineRule="auto"/>
        <w:rPr>
          <w:rFonts w:ascii="Arial" w:hAnsi="Arial" w:cs="Arial"/>
          <w:lang w:val="en-US"/>
        </w:rPr>
      </w:pPr>
      <w:r w:rsidRPr="00564545">
        <w:rPr>
          <w:rFonts w:ascii="Arial" w:hAnsi="Arial" w:cs="Arial"/>
          <w:lang w:val="en-US"/>
        </w:rPr>
        <w:t>Themed quality monitoring inclusive of a variety of external review readiness</w:t>
      </w:r>
    </w:p>
    <w:p w14:paraId="32116866" w14:textId="77777777" w:rsidR="00565D10" w:rsidRPr="00564545" w:rsidRDefault="00565D10" w:rsidP="00564545">
      <w:pPr>
        <w:pStyle w:val="ListParagraph"/>
        <w:numPr>
          <w:ilvl w:val="0"/>
          <w:numId w:val="15"/>
        </w:numPr>
        <w:spacing w:line="240" w:lineRule="auto"/>
        <w:rPr>
          <w:rFonts w:ascii="Arial" w:hAnsi="Arial" w:cs="Arial"/>
          <w:lang w:val="en-US"/>
        </w:rPr>
      </w:pPr>
      <w:r w:rsidRPr="00564545">
        <w:rPr>
          <w:rFonts w:ascii="Arial" w:hAnsi="Arial" w:cs="Arial"/>
          <w:lang w:val="en-US"/>
        </w:rPr>
        <w:t>Self-assessment support and improvement planning projects</w:t>
      </w:r>
    </w:p>
    <w:p w14:paraId="60DEE293" w14:textId="5B0AEE36" w:rsidR="00565D10" w:rsidRPr="00564545" w:rsidRDefault="00565D10" w:rsidP="00564545">
      <w:pPr>
        <w:pStyle w:val="ListParagraph"/>
        <w:numPr>
          <w:ilvl w:val="0"/>
          <w:numId w:val="15"/>
        </w:numPr>
        <w:spacing w:line="240" w:lineRule="auto"/>
        <w:rPr>
          <w:rFonts w:ascii="Arial" w:hAnsi="Arial" w:cs="Arial"/>
          <w:lang w:val="en-US"/>
        </w:rPr>
      </w:pPr>
      <w:r w:rsidRPr="00564545">
        <w:rPr>
          <w:rFonts w:ascii="Arial" w:hAnsi="Arial" w:cs="Arial"/>
          <w:lang w:val="en-US"/>
        </w:rPr>
        <w:lastRenderedPageBreak/>
        <w:t>Access to staff development and a range of training including Safeguarding, E</w:t>
      </w:r>
      <w:r w:rsidR="00782EB3">
        <w:rPr>
          <w:rFonts w:ascii="Arial" w:hAnsi="Arial" w:cs="Arial"/>
          <w:lang w:val="en-US"/>
        </w:rPr>
        <w:t>&amp;</w:t>
      </w:r>
      <w:r w:rsidRPr="00564545">
        <w:rPr>
          <w:rFonts w:ascii="Arial" w:hAnsi="Arial" w:cs="Arial"/>
          <w:lang w:val="en-US"/>
        </w:rPr>
        <w:t>D, British Values and Prevent.</w:t>
      </w:r>
    </w:p>
    <w:p w14:paraId="61A71337" w14:textId="0422914C" w:rsidR="00565D10" w:rsidRPr="00564545" w:rsidRDefault="00565D10" w:rsidP="00564545">
      <w:pPr>
        <w:pStyle w:val="ListParagraph"/>
        <w:numPr>
          <w:ilvl w:val="0"/>
          <w:numId w:val="15"/>
        </w:numPr>
        <w:spacing w:line="240" w:lineRule="auto"/>
        <w:rPr>
          <w:rFonts w:ascii="Arial" w:hAnsi="Arial" w:cs="Arial"/>
          <w:lang w:val="en-US"/>
        </w:rPr>
      </w:pPr>
      <w:r w:rsidRPr="00564545">
        <w:rPr>
          <w:rFonts w:ascii="Arial" w:hAnsi="Arial" w:cs="Arial"/>
          <w:lang w:val="en-US"/>
        </w:rPr>
        <w:t xml:space="preserve">Sharing good practice and policy/legislation updates </w:t>
      </w:r>
    </w:p>
    <w:p w14:paraId="55C246E3" w14:textId="77777777" w:rsidR="00565D10" w:rsidRPr="004A209F" w:rsidRDefault="00565D10" w:rsidP="00564545">
      <w:pPr>
        <w:rPr>
          <w:rFonts w:ascii="Arial" w:eastAsia="Times New Roman" w:hAnsi="Arial" w:cs="Arial"/>
          <w:sz w:val="2"/>
        </w:rPr>
      </w:pPr>
    </w:p>
    <w:p w14:paraId="0F155A97" w14:textId="4D61723F" w:rsidR="00782EB3" w:rsidRDefault="00565D10" w:rsidP="004A209F">
      <w:pPr>
        <w:spacing w:after="0"/>
        <w:rPr>
          <w:rFonts w:ascii="Arial" w:hAnsi="Arial" w:cs="Arial"/>
        </w:rPr>
      </w:pPr>
      <w:bookmarkStart w:id="0" w:name="_Hlk24720298"/>
      <w:r w:rsidRPr="00782EB3">
        <w:rPr>
          <w:rFonts w:ascii="Arial" w:hAnsi="Arial" w:cs="Arial"/>
          <w:b/>
          <w:i/>
        </w:rPr>
        <w:t xml:space="preserve">MIS, </w:t>
      </w:r>
      <w:r w:rsidR="00782EB3">
        <w:rPr>
          <w:rFonts w:ascii="Arial" w:hAnsi="Arial" w:cs="Arial"/>
          <w:b/>
          <w:i/>
        </w:rPr>
        <w:t>a</w:t>
      </w:r>
      <w:r w:rsidRPr="00782EB3">
        <w:rPr>
          <w:rFonts w:ascii="Arial" w:hAnsi="Arial" w:cs="Arial"/>
          <w:b/>
          <w:i/>
        </w:rPr>
        <w:t>udit and ILR services</w:t>
      </w:r>
    </w:p>
    <w:bookmarkEnd w:id="0"/>
    <w:p w14:paraId="2A20DDDA" w14:textId="09F120C3" w:rsidR="00056C10" w:rsidRDefault="00782EB3" w:rsidP="004A209F">
      <w:pPr>
        <w:spacing w:after="0"/>
        <w:rPr>
          <w:rFonts w:ascii="Arial" w:hAnsi="Arial" w:cs="Arial"/>
        </w:rPr>
      </w:pPr>
      <w:r>
        <w:rPr>
          <w:rFonts w:ascii="Arial" w:hAnsi="Arial" w:cs="Arial"/>
        </w:rPr>
        <w:t>P</w:t>
      </w:r>
      <w:r w:rsidR="00663F08" w:rsidRPr="00782EB3">
        <w:rPr>
          <w:rFonts w:ascii="Arial" w:hAnsi="Arial" w:cs="Arial"/>
        </w:rPr>
        <w:t xml:space="preserve">rime </w:t>
      </w:r>
      <w:r w:rsidR="00056C10" w:rsidRPr="00782EB3">
        <w:rPr>
          <w:rFonts w:ascii="Arial" w:hAnsi="Arial" w:cs="Arial"/>
        </w:rPr>
        <w:t xml:space="preserve">provider’s MIS department schedules and holds monthly support and info exchange meetings with each delivery subcontractor that includes </w:t>
      </w:r>
      <w:r w:rsidR="00565D10" w:rsidRPr="00782EB3">
        <w:rPr>
          <w:rFonts w:ascii="Arial" w:hAnsi="Arial" w:cs="Arial"/>
        </w:rPr>
        <w:t xml:space="preserve">(but not limited to) </w:t>
      </w:r>
      <w:r w:rsidR="00056C10" w:rsidRPr="00782EB3">
        <w:rPr>
          <w:rFonts w:ascii="Arial" w:hAnsi="Arial" w:cs="Arial"/>
        </w:rPr>
        <w:t>the following:</w:t>
      </w:r>
    </w:p>
    <w:p w14:paraId="02829802" w14:textId="77777777" w:rsidR="005321C9" w:rsidRPr="004A209F" w:rsidRDefault="005321C9" w:rsidP="004A209F">
      <w:pPr>
        <w:spacing w:after="0"/>
        <w:rPr>
          <w:rFonts w:ascii="Arial" w:hAnsi="Arial" w:cs="Arial"/>
          <w:sz w:val="10"/>
        </w:rPr>
      </w:pPr>
    </w:p>
    <w:p w14:paraId="6258C9CE" w14:textId="02DEA4FA" w:rsidR="00565D10" w:rsidRPr="00564545" w:rsidRDefault="00565D10" w:rsidP="00565D10">
      <w:pPr>
        <w:pStyle w:val="ListParagraph"/>
        <w:numPr>
          <w:ilvl w:val="0"/>
          <w:numId w:val="5"/>
        </w:numPr>
        <w:spacing w:line="256" w:lineRule="auto"/>
        <w:rPr>
          <w:rFonts w:ascii="Arial" w:hAnsi="Arial" w:cs="Arial"/>
          <w:lang w:val="en-US"/>
        </w:rPr>
      </w:pPr>
      <w:r w:rsidRPr="00564545">
        <w:rPr>
          <w:rFonts w:ascii="Arial" w:hAnsi="Arial" w:cs="Arial"/>
          <w:lang w:val="en-US"/>
        </w:rPr>
        <w:t>Monthly processing of starts, on programme, leavers and completions</w:t>
      </w:r>
    </w:p>
    <w:p w14:paraId="330F92D0" w14:textId="77777777" w:rsidR="00565D10" w:rsidRPr="00564545" w:rsidRDefault="00565D10" w:rsidP="00565D10">
      <w:pPr>
        <w:pStyle w:val="ListParagraph"/>
        <w:numPr>
          <w:ilvl w:val="0"/>
          <w:numId w:val="5"/>
        </w:numPr>
        <w:spacing w:line="256" w:lineRule="auto"/>
        <w:rPr>
          <w:rFonts w:ascii="Arial" w:hAnsi="Arial" w:cs="Arial"/>
          <w:lang w:val="en-US"/>
        </w:rPr>
      </w:pPr>
      <w:r w:rsidRPr="00564545">
        <w:rPr>
          <w:rFonts w:ascii="Arial" w:hAnsi="Arial" w:cs="Arial"/>
          <w:lang w:val="en-US"/>
        </w:rPr>
        <w:t>ILR reporting and PO/remittance preparation</w:t>
      </w:r>
    </w:p>
    <w:p w14:paraId="777FF420" w14:textId="77777777" w:rsidR="00565D10" w:rsidRPr="00564545" w:rsidRDefault="00565D10" w:rsidP="00565D10">
      <w:pPr>
        <w:pStyle w:val="ListParagraph"/>
        <w:numPr>
          <w:ilvl w:val="0"/>
          <w:numId w:val="5"/>
        </w:numPr>
        <w:spacing w:line="256" w:lineRule="auto"/>
        <w:rPr>
          <w:rFonts w:ascii="Arial" w:hAnsi="Arial" w:cs="Arial"/>
          <w:lang w:val="en-US"/>
        </w:rPr>
      </w:pPr>
      <w:r w:rsidRPr="00564545">
        <w:rPr>
          <w:rFonts w:ascii="Arial" w:hAnsi="Arial" w:cs="Arial"/>
          <w:lang w:val="en-US"/>
        </w:rPr>
        <w:t>Audit and follow up compliance training.</w:t>
      </w:r>
    </w:p>
    <w:p w14:paraId="02C5632B" w14:textId="77777777" w:rsidR="00565D10" w:rsidRPr="00564545" w:rsidRDefault="00565D10" w:rsidP="00565D10">
      <w:pPr>
        <w:pStyle w:val="ListParagraph"/>
        <w:numPr>
          <w:ilvl w:val="0"/>
          <w:numId w:val="5"/>
        </w:numPr>
        <w:spacing w:line="256" w:lineRule="auto"/>
        <w:rPr>
          <w:rFonts w:ascii="Arial" w:hAnsi="Arial" w:cs="Arial"/>
          <w:lang w:val="en-US"/>
        </w:rPr>
      </w:pPr>
      <w:r w:rsidRPr="00564545">
        <w:rPr>
          <w:rFonts w:ascii="Arial" w:hAnsi="Arial" w:cs="Arial"/>
          <w:lang w:val="en-US"/>
        </w:rPr>
        <w:t>EPA Gateway administration</w:t>
      </w:r>
    </w:p>
    <w:p w14:paraId="2A20DDDB" w14:textId="5BB7CBDF" w:rsidR="00056C10" w:rsidRPr="00564545" w:rsidRDefault="00056C10" w:rsidP="00056C10">
      <w:pPr>
        <w:pStyle w:val="ListParagraph"/>
        <w:numPr>
          <w:ilvl w:val="0"/>
          <w:numId w:val="5"/>
        </w:numPr>
        <w:rPr>
          <w:rFonts w:ascii="Arial" w:eastAsia="Times New Roman" w:hAnsi="Arial" w:cs="Arial"/>
        </w:rPr>
      </w:pPr>
      <w:r w:rsidRPr="00564545">
        <w:rPr>
          <w:rFonts w:ascii="Arial" w:eastAsia="Times New Roman" w:hAnsi="Arial" w:cs="Arial"/>
        </w:rPr>
        <w:t>Past planned end date learners (PPED)</w:t>
      </w:r>
    </w:p>
    <w:p w14:paraId="2A20DDDC" w14:textId="77777777" w:rsidR="00056C10" w:rsidRPr="00564545" w:rsidRDefault="00056C10" w:rsidP="00056C10">
      <w:pPr>
        <w:pStyle w:val="ListParagraph"/>
        <w:numPr>
          <w:ilvl w:val="0"/>
          <w:numId w:val="5"/>
        </w:numPr>
        <w:rPr>
          <w:rFonts w:ascii="Arial" w:eastAsia="Times New Roman" w:hAnsi="Arial" w:cs="Arial"/>
        </w:rPr>
      </w:pPr>
      <w:r w:rsidRPr="00564545">
        <w:rPr>
          <w:rFonts w:ascii="Arial" w:eastAsia="Times New Roman" w:hAnsi="Arial" w:cs="Arial"/>
        </w:rPr>
        <w:t>Learners on a break in learning (BIL)</w:t>
      </w:r>
    </w:p>
    <w:p w14:paraId="2A20DDDD" w14:textId="3D2CB972" w:rsidR="00056C10" w:rsidRPr="00564545" w:rsidRDefault="00056C10" w:rsidP="00056C10">
      <w:pPr>
        <w:pStyle w:val="ListParagraph"/>
        <w:numPr>
          <w:ilvl w:val="0"/>
          <w:numId w:val="5"/>
        </w:numPr>
        <w:rPr>
          <w:rFonts w:ascii="Arial" w:eastAsia="Times New Roman" w:hAnsi="Arial" w:cs="Arial"/>
        </w:rPr>
      </w:pPr>
      <w:r w:rsidRPr="00564545">
        <w:rPr>
          <w:rFonts w:ascii="Arial" w:eastAsia="Times New Roman" w:hAnsi="Arial" w:cs="Arial"/>
        </w:rPr>
        <w:t xml:space="preserve">Contact evidence submitted </w:t>
      </w:r>
      <w:r w:rsidR="0009552F">
        <w:rPr>
          <w:rFonts w:ascii="Arial" w:eastAsia="Times New Roman" w:hAnsi="Arial" w:cs="Arial"/>
        </w:rPr>
        <w:t>on time</w:t>
      </w:r>
    </w:p>
    <w:p w14:paraId="2A20DDDE" w14:textId="77777777" w:rsidR="00056C10" w:rsidRPr="00564545" w:rsidRDefault="00056C10" w:rsidP="00056C10">
      <w:pPr>
        <w:pStyle w:val="ListParagraph"/>
        <w:numPr>
          <w:ilvl w:val="0"/>
          <w:numId w:val="5"/>
        </w:numPr>
        <w:rPr>
          <w:rFonts w:ascii="Arial" w:eastAsia="Times New Roman" w:hAnsi="Arial" w:cs="Arial"/>
        </w:rPr>
      </w:pPr>
      <w:r w:rsidRPr="00564545">
        <w:rPr>
          <w:rFonts w:ascii="Arial" w:eastAsia="Times New Roman" w:hAnsi="Arial" w:cs="Arial"/>
        </w:rPr>
        <w:t>Health and Safety vetting and insurances for the delivery partners’ employers</w:t>
      </w:r>
    </w:p>
    <w:p w14:paraId="1EF4E4D8" w14:textId="5E80ABCF" w:rsidR="00405087" w:rsidRPr="00564545" w:rsidRDefault="00056C10" w:rsidP="00056C10">
      <w:pPr>
        <w:pStyle w:val="ListParagraph"/>
        <w:numPr>
          <w:ilvl w:val="0"/>
          <w:numId w:val="5"/>
        </w:numPr>
        <w:rPr>
          <w:rFonts w:ascii="Arial" w:eastAsia="Times New Roman" w:hAnsi="Arial" w:cs="Arial"/>
        </w:rPr>
      </w:pPr>
      <w:r w:rsidRPr="00564545">
        <w:rPr>
          <w:rFonts w:ascii="Arial" w:eastAsia="Times New Roman" w:hAnsi="Arial" w:cs="Arial"/>
        </w:rPr>
        <w:t>Enrolment queries (extended to all paperwork submitted if need be)</w:t>
      </w:r>
    </w:p>
    <w:p w14:paraId="1D070E61" w14:textId="1B57E4CE" w:rsidR="00565D10" w:rsidRPr="004A209F" w:rsidRDefault="00565D10">
      <w:pPr>
        <w:rPr>
          <w:rFonts w:ascii="Arial" w:hAnsi="Arial" w:cs="Arial"/>
          <w:b/>
          <w:i/>
          <w:sz w:val="2"/>
          <w:szCs w:val="8"/>
        </w:rPr>
      </w:pPr>
    </w:p>
    <w:p w14:paraId="3EA86602" w14:textId="5912FD5A" w:rsidR="00782EB3" w:rsidRDefault="00EE7173" w:rsidP="004A209F">
      <w:pPr>
        <w:spacing w:after="0"/>
        <w:rPr>
          <w:rFonts w:ascii="Arial" w:hAnsi="Arial" w:cs="Arial"/>
        </w:rPr>
      </w:pPr>
      <w:bookmarkStart w:id="1" w:name="_Hlk24720338"/>
      <w:r w:rsidRPr="00782EB3">
        <w:rPr>
          <w:rFonts w:ascii="Arial" w:hAnsi="Arial" w:cs="Arial"/>
          <w:b/>
          <w:i/>
        </w:rPr>
        <w:t xml:space="preserve">Contracting / </w:t>
      </w:r>
      <w:r w:rsidR="00782EB3">
        <w:rPr>
          <w:rFonts w:ascii="Arial" w:hAnsi="Arial" w:cs="Arial"/>
          <w:b/>
          <w:i/>
        </w:rPr>
        <w:t>c</w:t>
      </w:r>
      <w:r w:rsidRPr="00782EB3">
        <w:rPr>
          <w:rFonts w:ascii="Arial" w:hAnsi="Arial" w:cs="Arial"/>
          <w:b/>
          <w:i/>
        </w:rPr>
        <w:t xml:space="preserve">ontract </w:t>
      </w:r>
      <w:r w:rsidR="00782EB3">
        <w:rPr>
          <w:rFonts w:ascii="Arial" w:hAnsi="Arial" w:cs="Arial"/>
          <w:b/>
          <w:i/>
        </w:rPr>
        <w:t>m</w:t>
      </w:r>
      <w:r w:rsidRPr="00782EB3">
        <w:rPr>
          <w:rFonts w:ascii="Arial" w:hAnsi="Arial" w:cs="Arial"/>
          <w:b/>
          <w:i/>
        </w:rPr>
        <w:t>anagement</w:t>
      </w:r>
      <w:r w:rsidR="00056C10" w:rsidRPr="00782EB3">
        <w:rPr>
          <w:rFonts w:ascii="Arial" w:hAnsi="Arial" w:cs="Arial"/>
          <w:b/>
        </w:rPr>
        <w:t xml:space="preserve"> </w:t>
      </w:r>
      <w:bookmarkStart w:id="2" w:name="_GoBack"/>
      <w:bookmarkEnd w:id="2"/>
    </w:p>
    <w:bookmarkEnd w:id="1"/>
    <w:p w14:paraId="2A20DDE1" w14:textId="503FB0FA" w:rsidR="00056C10" w:rsidRDefault="00056C10" w:rsidP="004A209F">
      <w:pPr>
        <w:spacing w:after="0"/>
        <w:rPr>
          <w:rFonts w:ascii="Arial" w:hAnsi="Arial" w:cs="Arial"/>
        </w:rPr>
      </w:pPr>
      <w:r w:rsidRPr="00782EB3">
        <w:rPr>
          <w:rFonts w:ascii="Arial" w:hAnsi="Arial" w:cs="Arial"/>
        </w:rPr>
        <w:t xml:space="preserve">Ongoing profile updates are carried out and variations issued where necessary if </w:t>
      </w:r>
      <w:r w:rsidR="0009552F">
        <w:rPr>
          <w:rFonts w:ascii="Arial" w:hAnsi="Arial" w:cs="Arial"/>
        </w:rPr>
        <w:t xml:space="preserve">the </w:t>
      </w:r>
      <w:r w:rsidRPr="00782EB3">
        <w:rPr>
          <w:rFonts w:ascii="Arial" w:hAnsi="Arial" w:cs="Arial"/>
        </w:rPr>
        <w:t>profile cannot be</w:t>
      </w:r>
      <w:r w:rsidRPr="00782EB3">
        <w:rPr>
          <w:rFonts w:ascii="Arial" w:hAnsi="Arial" w:cs="Arial"/>
          <w:b/>
        </w:rPr>
        <w:t xml:space="preserve"> </w:t>
      </w:r>
      <w:r w:rsidRPr="00782EB3">
        <w:rPr>
          <w:rFonts w:ascii="Arial" w:hAnsi="Arial" w:cs="Arial"/>
        </w:rPr>
        <w:t>met. This is determined through the quality and performance reviews that take place with each</w:t>
      </w:r>
      <w:r w:rsidRPr="00782EB3">
        <w:rPr>
          <w:rFonts w:ascii="Arial" w:hAnsi="Arial" w:cs="Arial"/>
          <w:b/>
        </w:rPr>
        <w:t xml:space="preserve"> </w:t>
      </w:r>
      <w:r w:rsidRPr="00782EB3">
        <w:rPr>
          <w:rFonts w:ascii="Arial" w:hAnsi="Arial" w:cs="Arial"/>
        </w:rPr>
        <w:t xml:space="preserve">delivery partner. The </w:t>
      </w:r>
      <w:r w:rsidR="00663F08" w:rsidRPr="00782EB3">
        <w:rPr>
          <w:rFonts w:ascii="Arial" w:hAnsi="Arial" w:cs="Arial"/>
        </w:rPr>
        <w:t xml:space="preserve">prime </w:t>
      </w:r>
      <w:r w:rsidRPr="00782EB3">
        <w:rPr>
          <w:rFonts w:ascii="Arial" w:hAnsi="Arial" w:cs="Arial"/>
        </w:rPr>
        <w:t>provider supports delivery subcontractors to continue to develop their provision, this could include but</w:t>
      </w:r>
      <w:r w:rsidRPr="00782EB3">
        <w:rPr>
          <w:rFonts w:ascii="Arial" w:hAnsi="Arial" w:cs="Arial"/>
          <w:b/>
        </w:rPr>
        <w:t xml:space="preserve"> </w:t>
      </w:r>
      <w:r w:rsidRPr="00782EB3">
        <w:rPr>
          <w:rFonts w:ascii="Arial" w:hAnsi="Arial" w:cs="Arial"/>
        </w:rPr>
        <w:t>not limited to;</w:t>
      </w:r>
    </w:p>
    <w:p w14:paraId="36755142" w14:textId="77777777" w:rsidR="005321C9" w:rsidRPr="004A209F" w:rsidRDefault="005321C9" w:rsidP="004A209F">
      <w:pPr>
        <w:spacing w:after="0"/>
        <w:rPr>
          <w:rFonts w:ascii="Arial" w:hAnsi="Arial" w:cs="Arial"/>
          <w:sz w:val="12"/>
        </w:rPr>
      </w:pPr>
    </w:p>
    <w:p w14:paraId="05F09F91" w14:textId="77777777" w:rsidR="00565D10" w:rsidRPr="00564545" w:rsidRDefault="00565D10" w:rsidP="00565D10">
      <w:pPr>
        <w:pStyle w:val="ListParagraph"/>
        <w:numPr>
          <w:ilvl w:val="0"/>
          <w:numId w:val="6"/>
        </w:numPr>
        <w:spacing w:after="0" w:line="240" w:lineRule="auto"/>
        <w:rPr>
          <w:rFonts w:ascii="Arial" w:hAnsi="Arial" w:cs="Arial"/>
          <w:lang w:val="en-US"/>
        </w:rPr>
      </w:pPr>
      <w:r w:rsidRPr="00564545">
        <w:rPr>
          <w:rFonts w:ascii="Arial" w:hAnsi="Arial" w:cs="Arial"/>
          <w:lang w:val="en-US"/>
        </w:rPr>
        <w:t>Access to a team of experts for all function e.g. MIS, Quality, Operations</w:t>
      </w:r>
    </w:p>
    <w:p w14:paraId="00F3D0F8" w14:textId="17938507" w:rsidR="00565D10" w:rsidRPr="00564545" w:rsidRDefault="00565D10" w:rsidP="00564545">
      <w:pPr>
        <w:pStyle w:val="ListParagraph"/>
        <w:numPr>
          <w:ilvl w:val="0"/>
          <w:numId w:val="6"/>
        </w:numPr>
        <w:spacing w:after="0" w:line="240" w:lineRule="auto"/>
        <w:rPr>
          <w:rFonts w:ascii="Arial" w:hAnsi="Arial" w:cs="Arial"/>
          <w:lang w:val="en-US"/>
        </w:rPr>
      </w:pPr>
      <w:r w:rsidRPr="00564545">
        <w:rPr>
          <w:rFonts w:ascii="Arial" w:hAnsi="Arial" w:cs="Arial"/>
          <w:lang w:val="en-US"/>
        </w:rPr>
        <w:t>Guidance on selecting Awarding organisations and End Point Assessment organisations</w:t>
      </w:r>
    </w:p>
    <w:p w14:paraId="24A46195" w14:textId="77777777" w:rsidR="00565D10" w:rsidRPr="00564545" w:rsidRDefault="00565D10" w:rsidP="00565D10">
      <w:pPr>
        <w:pStyle w:val="ListParagraph"/>
        <w:numPr>
          <w:ilvl w:val="0"/>
          <w:numId w:val="6"/>
        </w:numPr>
        <w:spacing w:after="0" w:line="240" w:lineRule="auto"/>
        <w:rPr>
          <w:rFonts w:ascii="Arial" w:hAnsi="Arial" w:cs="Arial"/>
          <w:lang w:val="en-US"/>
        </w:rPr>
      </w:pPr>
      <w:r w:rsidRPr="00564545">
        <w:rPr>
          <w:rFonts w:ascii="Arial" w:hAnsi="Arial" w:cs="Arial"/>
          <w:lang w:val="en-US"/>
        </w:rPr>
        <w:t>Due Diligence risk assessment and status updates</w:t>
      </w:r>
    </w:p>
    <w:p w14:paraId="51406067" w14:textId="77777777" w:rsidR="00565D10" w:rsidRPr="00564545" w:rsidRDefault="00565D10" w:rsidP="00565D10">
      <w:pPr>
        <w:pStyle w:val="ListParagraph"/>
        <w:numPr>
          <w:ilvl w:val="0"/>
          <w:numId w:val="6"/>
        </w:numPr>
        <w:spacing w:after="0" w:line="240" w:lineRule="auto"/>
        <w:rPr>
          <w:rFonts w:ascii="Arial" w:hAnsi="Arial" w:cs="Arial"/>
          <w:lang w:val="en-US"/>
        </w:rPr>
      </w:pPr>
      <w:r w:rsidRPr="00564545">
        <w:rPr>
          <w:rFonts w:ascii="Arial" w:hAnsi="Arial" w:cs="Arial"/>
          <w:lang w:val="en-US"/>
        </w:rPr>
        <w:t>Achievement and EDIMs Reporting</w:t>
      </w:r>
    </w:p>
    <w:p w14:paraId="2DBF3B81" w14:textId="77777777" w:rsidR="00565D10" w:rsidRPr="00564545" w:rsidRDefault="00565D10" w:rsidP="00565D10">
      <w:pPr>
        <w:pStyle w:val="ListParagraph"/>
        <w:numPr>
          <w:ilvl w:val="0"/>
          <w:numId w:val="6"/>
        </w:numPr>
        <w:spacing w:after="0" w:line="240" w:lineRule="auto"/>
        <w:rPr>
          <w:rFonts w:ascii="Arial" w:hAnsi="Arial" w:cs="Arial"/>
          <w:lang w:val="en-US"/>
        </w:rPr>
      </w:pPr>
      <w:r w:rsidRPr="00564545">
        <w:rPr>
          <w:rFonts w:ascii="Arial" w:hAnsi="Arial" w:cs="Arial"/>
          <w:lang w:val="en-US"/>
        </w:rPr>
        <w:t>Support to enrich Safeguarding practices.</w:t>
      </w:r>
    </w:p>
    <w:p w14:paraId="1C5A8B33" w14:textId="77777777" w:rsidR="00565D10" w:rsidRPr="00564545" w:rsidRDefault="00565D10" w:rsidP="00565D10">
      <w:pPr>
        <w:pStyle w:val="ListParagraph"/>
        <w:numPr>
          <w:ilvl w:val="0"/>
          <w:numId w:val="6"/>
        </w:numPr>
        <w:spacing w:after="0" w:line="240" w:lineRule="auto"/>
        <w:rPr>
          <w:rFonts w:ascii="Arial" w:hAnsi="Arial" w:cs="Arial"/>
          <w:lang w:val="en-US"/>
        </w:rPr>
      </w:pPr>
      <w:r w:rsidRPr="00564545">
        <w:rPr>
          <w:rFonts w:ascii="Arial" w:hAnsi="Arial" w:cs="Arial"/>
          <w:lang w:val="en-US"/>
        </w:rPr>
        <w:t>In evidencing 20% OTJ within Apprenticeship programmes.</w:t>
      </w:r>
    </w:p>
    <w:p w14:paraId="2E883CA3" w14:textId="77777777" w:rsidR="00565D10" w:rsidRPr="00564545" w:rsidRDefault="00565D10" w:rsidP="00565D10">
      <w:pPr>
        <w:pStyle w:val="ListParagraph"/>
        <w:numPr>
          <w:ilvl w:val="0"/>
          <w:numId w:val="6"/>
        </w:numPr>
        <w:spacing w:line="256" w:lineRule="auto"/>
        <w:rPr>
          <w:rFonts w:ascii="Arial" w:hAnsi="Arial" w:cs="Arial"/>
          <w:b/>
          <w:bCs/>
          <w:lang w:val="en-US"/>
        </w:rPr>
      </w:pPr>
      <w:r w:rsidRPr="00564545">
        <w:rPr>
          <w:rFonts w:ascii="Arial" w:hAnsi="Arial" w:cs="Arial"/>
          <w:lang w:val="en-US"/>
        </w:rPr>
        <w:t>Funding rule updates, training and guidance</w:t>
      </w:r>
    </w:p>
    <w:p w14:paraId="3B8B10BB" w14:textId="5776F9A0" w:rsidR="00565D10" w:rsidRPr="00564545" w:rsidRDefault="00565D10" w:rsidP="00565D10">
      <w:pPr>
        <w:pStyle w:val="ListParagraph"/>
        <w:numPr>
          <w:ilvl w:val="0"/>
          <w:numId w:val="6"/>
        </w:numPr>
        <w:spacing w:line="256" w:lineRule="auto"/>
        <w:rPr>
          <w:rFonts w:ascii="Arial" w:hAnsi="Arial" w:cs="Arial"/>
          <w:lang w:val="en-US"/>
        </w:rPr>
      </w:pPr>
      <w:r w:rsidRPr="00564545">
        <w:rPr>
          <w:rFonts w:ascii="Arial" w:hAnsi="Arial" w:cs="Arial"/>
          <w:lang w:val="en-US"/>
        </w:rPr>
        <w:t xml:space="preserve">Support in </w:t>
      </w:r>
      <w:r w:rsidR="0009552F">
        <w:rPr>
          <w:rFonts w:ascii="Arial" w:hAnsi="Arial" w:cs="Arial"/>
          <w:lang w:val="en-US"/>
        </w:rPr>
        <w:t xml:space="preserve">the </w:t>
      </w:r>
      <w:r w:rsidRPr="00564545">
        <w:rPr>
          <w:rFonts w:ascii="Arial" w:hAnsi="Arial" w:cs="Arial"/>
          <w:lang w:val="en-US"/>
        </w:rPr>
        <w:t xml:space="preserve">use of </w:t>
      </w:r>
      <w:r w:rsidR="00782EB3" w:rsidRPr="00564545">
        <w:rPr>
          <w:rFonts w:ascii="Arial" w:hAnsi="Arial" w:cs="Arial"/>
          <w:lang w:val="en-US"/>
        </w:rPr>
        <w:t xml:space="preserve">TAS </w:t>
      </w:r>
      <w:r w:rsidRPr="00564545">
        <w:rPr>
          <w:rFonts w:ascii="Arial" w:hAnsi="Arial" w:cs="Arial"/>
          <w:lang w:val="en-US"/>
        </w:rPr>
        <w:t>System</w:t>
      </w:r>
    </w:p>
    <w:p w14:paraId="610DB5C4" w14:textId="77777777" w:rsidR="00565D10" w:rsidRPr="00564545" w:rsidRDefault="00565D10" w:rsidP="00565D10">
      <w:pPr>
        <w:pStyle w:val="ListParagraph"/>
        <w:numPr>
          <w:ilvl w:val="0"/>
          <w:numId w:val="6"/>
        </w:numPr>
        <w:spacing w:line="256" w:lineRule="auto"/>
        <w:rPr>
          <w:rFonts w:ascii="Arial" w:hAnsi="Arial" w:cs="Arial"/>
          <w:lang w:val="en-US"/>
        </w:rPr>
      </w:pPr>
      <w:r w:rsidRPr="00564545">
        <w:rPr>
          <w:rFonts w:ascii="Arial" w:hAnsi="Arial" w:cs="Arial"/>
          <w:lang w:val="en-US"/>
        </w:rPr>
        <w:t>Curriculum development and delivery set up guidance</w:t>
      </w:r>
    </w:p>
    <w:p w14:paraId="66030641" w14:textId="77777777" w:rsidR="00565D10" w:rsidRPr="00564545" w:rsidRDefault="00565D10" w:rsidP="00565D10">
      <w:pPr>
        <w:pStyle w:val="ListParagraph"/>
        <w:numPr>
          <w:ilvl w:val="0"/>
          <w:numId w:val="6"/>
        </w:numPr>
        <w:spacing w:line="256" w:lineRule="auto"/>
        <w:rPr>
          <w:rFonts w:ascii="Arial" w:hAnsi="Arial" w:cs="Arial"/>
          <w:b/>
          <w:bCs/>
          <w:lang w:val="en-US"/>
        </w:rPr>
      </w:pPr>
      <w:r w:rsidRPr="00564545">
        <w:rPr>
          <w:rFonts w:ascii="Arial" w:hAnsi="Arial" w:cs="Arial"/>
          <w:lang w:val="en-US"/>
        </w:rPr>
        <w:t>Support in achieving and maintain matrix accreditation</w:t>
      </w:r>
    </w:p>
    <w:p w14:paraId="1D13D497" w14:textId="77777777" w:rsidR="00565D10" w:rsidRPr="00564545" w:rsidRDefault="00565D10" w:rsidP="00565D10">
      <w:pPr>
        <w:pStyle w:val="ListParagraph"/>
        <w:numPr>
          <w:ilvl w:val="0"/>
          <w:numId w:val="6"/>
        </w:numPr>
        <w:spacing w:line="256" w:lineRule="auto"/>
        <w:rPr>
          <w:rFonts w:ascii="Arial" w:hAnsi="Arial" w:cs="Arial"/>
          <w:b/>
          <w:bCs/>
          <w:lang w:val="en-US"/>
        </w:rPr>
      </w:pPr>
      <w:r w:rsidRPr="00564545">
        <w:rPr>
          <w:rFonts w:ascii="Arial" w:hAnsi="Arial" w:cs="Arial"/>
          <w:lang w:val="en-US"/>
        </w:rPr>
        <w:t>Profile planning, review and performance management</w:t>
      </w:r>
    </w:p>
    <w:p w14:paraId="6A09683B" w14:textId="21A4B213" w:rsidR="00565D10" w:rsidRPr="00564545" w:rsidRDefault="00565D10" w:rsidP="00564545">
      <w:pPr>
        <w:pStyle w:val="ListParagraph"/>
        <w:numPr>
          <w:ilvl w:val="0"/>
          <w:numId w:val="6"/>
        </w:numPr>
        <w:spacing w:line="256" w:lineRule="auto"/>
        <w:rPr>
          <w:rFonts w:ascii="Arial" w:eastAsia="Times New Roman" w:hAnsi="Arial" w:cs="Arial"/>
        </w:rPr>
      </w:pPr>
      <w:r w:rsidRPr="00564545">
        <w:rPr>
          <w:rFonts w:ascii="Arial" w:hAnsi="Arial" w:cs="Arial"/>
          <w:lang w:val="en-US"/>
        </w:rPr>
        <w:t>Contract delivery guidance ensuring ESFA funding rules are met</w:t>
      </w:r>
    </w:p>
    <w:p w14:paraId="2A20DDE2" w14:textId="5A181C7A"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Provision of a quality dashboard</w:t>
      </w:r>
    </w:p>
    <w:p w14:paraId="2A20DDE3"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Matrix accredited advice and guidance</w:t>
      </w:r>
    </w:p>
    <w:p w14:paraId="2A20DDE4"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New standards delivery support</w:t>
      </w:r>
    </w:p>
    <w:p w14:paraId="2A20DDE6"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Learner recruitment via NAS website</w:t>
      </w:r>
    </w:p>
    <w:p w14:paraId="2A20DDE7"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Learner voice strategies and improvement planning</w:t>
      </w:r>
    </w:p>
    <w:p w14:paraId="2A20DDE8" w14:textId="77777777" w:rsidR="00003D3B" w:rsidRPr="00564545" w:rsidRDefault="00056C10" w:rsidP="00003D3B">
      <w:pPr>
        <w:pStyle w:val="ListParagraph"/>
        <w:numPr>
          <w:ilvl w:val="0"/>
          <w:numId w:val="6"/>
        </w:numPr>
        <w:rPr>
          <w:rFonts w:ascii="Arial" w:eastAsia="Times New Roman" w:hAnsi="Arial" w:cs="Arial"/>
        </w:rPr>
      </w:pPr>
      <w:r w:rsidRPr="00564545">
        <w:rPr>
          <w:rFonts w:ascii="Arial" w:eastAsia="Times New Roman" w:hAnsi="Arial" w:cs="Arial"/>
        </w:rPr>
        <w:t>Preparation for External Inspection</w:t>
      </w:r>
    </w:p>
    <w:p w14:paraId="2A20DDE9"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Generic and themed Quality Support</w:t>
      </w:r>
      <w:r w:rsidR="00003D3B" w:rsidRPr="00564545">
        <w:rPr>
          <w:rFonts w:ascii="Arial" w:eastAsia="Times New Roman" w:hAnsi="Arial" w:cs="Arial"/>
        </w:rPr>
        <w:t xml:space="preserve"> and review</w:t>
      </w:r>
    </w:p>
    <w:p w14:paraId="2A20DDEA"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Safeguarding, British Values, Equality and Diversity and Prevent training and support</w:t>
      </w:r>
    </w:p>
    <w:p w14:paraId="2A20DDEB"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Access to staff development activities</w:t>
      </w:r>
    </w:p>
    <w:p w14:paraId="2A20DDEC"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Self-Assessment and Quality Improvement Support</w:t>
      </w:r>
    </w:p>
    <w:p w14:paraId="2A20DDED" w14:textId="77777777" w:rsidR="00056C10" w:rsidRPr="00564545" w:rsidRDefault="00056C10" w:rsidP="00056C10">
      <w:pPr>
        <w:pStyle w:val="ListParagraph"/>
        <w:numPr>
          <w:ilvl w:val="0"/>
          <w:numId w:val="6"/>
        </w:numPr>
        <w:rPr>
          <w:rFonts w:ascii="Arial" w:eastAsia="Times New Roman" w:hAnsi="Arial" w:cs="Arial"/>
        </w:rPr>
      </w:pPr>
      <w:r w:rsidRPr="00564545">
        <w:rPr>
          <w:rFonts w:ascii="Arial" w:eastAsia="Times New Roman" w:hAnsi="Arial" w:cs="Arial"/>
        </w:rPr>
        <w:t>Teaching and Learning Observations (Inc. paired observations)</w:t>
      </w:r>
    </w:p>
    <w:p w14:paraId="2A20DDEE" w14:textId="0BA082D7" w:rsidR="00056C10" w:rsidRPr="00564545" w:rsidRDefault="00056C10" w:rsidP="00B356B8">
      <w:pPr>
        <w:pStyle w:val="ListParagraph"/>
        <w:numPr>
          <w:ilvl w:val="0"/>
          <w:numId w:val="6"/>
        </w:numPr>
        <w:rPr>
          <w:rFonts w:ascii="Arial" w:eastAsia="Times New Roman" w:hAnsi="Arial" w:cs="Arial"/>
        </w:rPr>
      </w:pPr>
      <w:r w:rsidRPr="00564545">
        <w:rPr>
          <w:rFonts w:ascii="Arial" w:eastAsia="Times New Roman" w:hAnsi="Arial" w:cs="Arial"/>
        </w:rPr>
        <w:t>Group sharing practice and development sessions.</w:t>
      </w:r>
    </w:p>
    <w:p w14:paraId="27C834DE" w14:textId="7F7EB10B" w:rsidR="00565D10" w:rsidRPr="004A209F" w:rsidRDefault="00565D10" w:rsidP="00564545">
      <w:pPr>
        <w:pStyle w:val="ListParagraph"/>
        <w:numPr>
          <w:ilvl w:val="0"/>
          <w:numId w:val="6"/>
        </w:numPr>
        <w:spacing w:line="256" w:lineRule="auto"/>
        <w:rPr>
          <w:rFonts w:ascii="Arial" w:eastAsia="Times New Roman" w:hAnsi="Arial" w:cs="Arial"/>
        </w:rPr>
      </w:pPr>
      <w:r w:rsidRPr="00564545">
        <w:rPr>
          <w:rFonts w:ascii="Arial" w:hAnsi="Arial" w:cs="Arial"/>
          <w:lang w:val="en-US"/>
        </w:rPr>
        <w:lastRenderedPageBreak/>
        <w:t>Conducting focus groups or individual face to face feedback sessions with learners and employers.</w:t>
      </w:r>
    </w:p>
    <w:p w14:paraId="3A5AE69C" w14:textId="77777777" w:rsidR="007339F1" w:rsidRPr="00564545" w:rsidRDefault="007339F1" w:rsidP="004A209F">
      <w:pPr>
        <w:pStyle w:val="ListParagraph"/>
        <w:spacing w:line="256" w:lineRule="auto"/>
        <w:rPr>
          <w:rFonts w:ascii="Arial" w:eastAsia="Times New Roman" w:hAnsi="Arial" w:cs="Arial"/>
        </w:rPr>
      </w:pPr>
    </w:p>
    <w:p w14:paraId="3AEFED09" w14:textId="21654FEF" w:rsidR="00782EB3" w:rsidRPr="00F832B9" w:rsidRDefault="00782EB3" w:rsidP="00B356B8">
      <w:pPr>
        <w:pStyle w:val="NormalWeb"/>
        <w:rPr>
          <w:rFonts w:ascii="Arial" w:hAnsi="Arial" w:cs="Arial"/>
          <w:bCs/>
          <w:color w:val="000000"/>
          <w:sz w:val="12"/>
          <w:szCs w:val="22"/>
        </w:rPr>
      </w:pPr>
    </w:p>
    <w:p w14:paraId="46B8393F" w14:textId="24791349" w:rsidR="00782EB3" w:rsidRPr="004A209F" w:rsidRDefault="00782EB3" w:rsidP="00B356B8">
      <w:pPr>
        <w:pStyle w:val="NormalWeb"/>
        <w:rPr>
          <w:rFonts w:ascii="Arial" w:hAnsi="Arial" w:cs="Arial"/>
          <w:bCs/>
          <w:color w:val="000000"/>
          <w:sz w:val="4"/>
          <w:szCs w:val="22"/>
        </w:rPr>
      </w:pPr>
    </w:p>
    <w:p w14:paraId="53E5927D" w14:textId="429845A4" w:rsidR="00782EB3" w:rsidRDefault="00782EB3" w:rsidP="00B356B8">
      <w:pPr>
        <w:pStyle w:val="NormalWeb"/>
        <w:rPr>
          <w:rFonts w:ascii="Arial" w:hAnsi="Arial" w:cs="Arial"/>
          <w:bCs/>
          <w:color w:val="000000"/>
          <w:sz w:val="22"/>
          <w:szCs w:val="22"/>
        </w:rPr>
      </w:pPr>
      <w:r>
        <w:rPr>
          <w:rFonts w:ascii="Arial" w:hAnsi="Arial" w:cs="Arial"/>
          <w:bCs/>
          <w:color w:val="000000"/>
          <w:sz w:val="22"/>
          <w:szCs w:val="22"/>
        </w:rPr>
        <w:t>Association of Employment and Learning Providers (AELP)</w:t>
      </w:r>
    </w:p>
    <w:p w14:paraId="2A20DDF9" w14:textId="3C5EFA74" w:rsidR="00DC4524" w:rsidRPr="00782EB3" w:rsidRDefault="004267B0" w:rsidP="00564545">
      <w:pPr>
        <w:pStyle w:val="NormalWeb"/>
        <w:rPr>
          <w:rFonts w:ascii="Arial" w:hAnsi="Arial" w:cs="Arial"/>
          <w:bCs/>
          <w:color w:val="000000"/>
          <w:sz w:val="22"/>
          <w:szCs w:val="22"/>
        </w:rPr>
      </w:pPr>
      <w:r>
        <w:rPr>
          <w:rFonts w:ascii="Arial" w:hAnsi="Arial" w:cs="Arial"/>
          <w:bCs/>
          <w:color w:val="000000"/>
          <w:sz w:val="22"/>
          <w:szCs w:val="22"/>
        </w:rPr>
        <w:t xml:space="preserve">November </w:t>
      </w:r>
      <w:r w:rsidR="00782EB3">
        <w:rPr>
          <w:rFonts w:ascii="Arial" w:hAnsi="Arial" w:cs="Arial"/>
          <w:bCs/>
          <w:color w:val="000000"/>
          <w:sz w:val="22"/>
          <w:szCs w:val="22"/>
        </w:rPr>
        <w:t>2019</w:t>
      </w:r>
    </w:p>
    <w:sectPr w:rsidR="00DC4524" w:rsidRPr="00782EB3" w:rsidSect="00827814">
      <w:headerReference w:type="even" r:id="rId8"/>
      <w:headerReference w:type="default" r:id="rId9"/>
      <w:footerReference w:type="even" r:id="rId10"/>
      <w:footerReference w:type="default" r:id="rId11"/>
      <w:headerReference w:type="first" r:id="rId12"/>
      <w:footerReference w:type="first" r:id="rId13"/>
      <w:pgSz w:w="11906" w:h="16838"/>
      <w:pgMar w:top="1980"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109D" w14:textId="77777777" w:rsidR="002D6DC2" w:rsidRDefault="002D6DC2" w:rsidP="00C76097">
      <w:pPr>
        <w:spacing w:after="0" w:line="240" w:lineRule="auto"/>
      </w:pPr>
      <w:r>
        <w:separator/>
      </w:r>
    </w:p>
  </w:endnote>
  <w:endnote w:type="continuationSeparator" w:id="0">
    <w:p w14:paraId="3F334F6D" w14:textId="77777777" w:rsidR="002D6DC2" w:rsidRDefault="002D6DC2" w:rsidP="00C7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Times New Roman"/>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5F5A6" w14:textId="77777777" w:rsidR="00C47AE8" w:rsidRDefault="00C4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040085"/>
      <w:docPartObj>
        <w:docPartGallery w:val="Page Numbers (Bottom of Page)"/>
        <w:docPartUnique/>
      </w:docPartObj>
    </w:sdtPr>
    <w:sdtEndPr>
      <w:rPr>
        <w:noProof/>
      </w:rPr>
    </w:sdtEndPr>
    <w:sdtContent>
      <w:p w14:paraId="1960D968" w14:textId="7A9B0558" w:rsidR="00C47AE8" w:rsidRDefault="00C47A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F7BB5" w14:textId="77777777" w:rsidR="00C47AE8" w:rsidRDefault="00C4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D518" w14:textId="77777777" w:rsidR="00C47AE8" w:rsidRDefault="00C4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E0910" w14:textId="77777777" w:rsidR="002D6DC2" w:rsidRDefault="002D6DC2" w:rsidP="00C76097">
      <w:pPr>
        <w:spacing w:after="0" w:line="240" w:lineRule="auto"/>
      </w:pPr>
      <w:r>
        <w:separator/>
      </w:r>
    </w:p>
  </w:footnote>
  <w:footnote w:type="continuationSeparator" w:id="0">
    <w:p w14:paraId="5FF09FDA" w14:textId="77777777" w:rsidR="002D6DC2" w:rsidRDefault="002D6DC2" w:rsidP="00C76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3F4A" w14:textId="77777777" w:rsidR="00C47AE8" w:rsidRDefault="00C4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DE00" w14:textId="0C5EDC7D" w:rsidR="00C76097" w:rsidRDefault="00782EB3" w:rsidP="00E43515">
    <w:pPr>
      <w:pStyle w:val="Header"/>
      <w:jc w:val="right"/>
    </w:pPr>
    <w:r>
      <w:rPr>
        <w:noProof/>
        <w:lang w:eastAsia="en-GB"/>
      </w:rPr>
      <mc:AlternateContent>
        <mc:Choice Requires="wps">
          <w:drawing>
            <wp:anchor distT="45720" distB="45720" distL="114300" distR="114300" simplePos="0" relativeHeight="251661312" behindDoc="0" locked="0" layoutInCell="1" allowOverlap="1" wp14:anchorId="2E3D5232" wp14:editId="1E4084DE">
              <wp:simplePos x="0" y="0"/>
              <wp:positionH relativeFrom="margin">
                <wp:align>left</wp:align>
              </wp:positionH>
              <wp:positionV relativeFrom="paragraph">
                <wp:posOffset>-125730</wp:posOffset>
              </wp:positionV>
              <wp:extent cx="4152900" cy="7556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55650"/>
                      </a:xfrm>
                      <a:prstGeom prst="rect">
                        <a:avLst/>
                      </a:prstGeom>
                      <a:noFill/>
                      <a:ln w="9525">
                        <a:noFill/>
                        <a:miter lim="800000"/>
                        <a:headEnd/>
                        <a:tailEnd/>
                      </a:ln>
                    </wps:spPr>
                    <wps:txbx>
                      <w:txbxContent>
                        <w:p w14:paraId="76A71B3D" w14:textId="094C0430" w:rsidR="009D4F38" w:rsidRPr="00B203C8" w:rsidRDefault="009D4F38" w:rsidP="009D4F38">
                          <w:pPr>
                            <w:pStyle w:val="NormalWeb"/>
                            <w:rPr>
                              <w:rFonts w:ascii="Arial" w:hAnsi="Arial" w:cs="Arial"/>
                              <w:b/>
                              <w:sz w:val="26"/>
                              <w:szCs w:val="26"/>
                            </w:rPr>
                          </w:pPr>
                          <w:r w:rsidRPr="00B203C8">
                            <w:rPr>
                              <w:rFonts w:ascii="Arial" w:hAnsi="Arial" w:cs="Arial"/>
                              <w:b/>
                              <w:sz w:val="26"/>
                              <w:szCs w:val="26"/>
                            </w:rPr>
                            <w:t xml:space="preserve">For the sector, by the sector: </w:t>
                          </w:r>
                          <w:r w:rsidR="003B0F94">
                            <w:rPr>
                              <w:rFonts w:ascii="Arial" w:hAnsi="Arial" w:cs="Arial"/>
                              <w:b/>
                              <w:sz w:val="26"/>
                              <w:szCs w:val="26"/>
                            </w:rPr>
                            <w:t>Subcontracting</w:t>
                          </w:r>
                          <w:r w:rsidRPr="00B203C8">
                            <w:rPr>
                              <w:rFonts w:ascii="Arial" w:hAnsi="Arial" w:cs="Arial"/>
                              <w:b/>
                              <w:sz w:val="26"/>
                              <w:szCs w:val="26"/>
                            </w:rPr>
                            <w:t xml:space="preserve"> </w:t>
                          </w:r>
                          <w:r w:rsidR="00202B66" w:rsidRPr="00B203C8">
                            <w:rPr>
                              <w:rFonts w:ascii="Arial" w:hAnsi="Arial" w:cs="Arial"/>
                              <w:b/>
                              <w:sz w:val="26"/>
                              <w:szCs w:val="26"/>
                            </w:rPr>
                            <w:t>expectations and checklist for a main provider</w:t>
                          </w:r>
                          <w:r w:rsidRPr="00B203C8">
                            <w:rPr>
                              <w:rFonts w:ascii="Arial" w:hAnsi="Arial" w:cs="Arial"/>
                              <w:b/>
                              <w:sz w:val="26"/>
                              <w:szCs w:val="26"/>
                            </w:rPr>
                            <w:t xml:space="preserve"> </w:t>
                          </w:r>
                        </w:p>
                        <w:p w14:paraId="41627049" w14:textId="72C4EDDA" w:rsidR="00782EB3" w:rsidRPr="00564545" w:rsidRDefault="00782EB3">
                          <w:pPr>
                            <w:rPr>
                              <w:b/>
                              <w:sz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D5232" id="_x0000_t202" coordsize="21600,21600" o:spt="202" path="m,l,21600r21600,l21600,xe">
              <v:stroke joinstyle="miter"/>
              <v:path gradientshapeok="t" o:connecttype="rect"/>
            </v:shapetype>
            <v:shape id="Text Box 2" o:spid="_x0000_s1026" type="#_x0000_t202" style="position:absolute;left:0;text-align:left;margin-left:0;margin-top:-9.9pt;width:327pt;height:5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" filled="f" stroked="f">
              <v:textbox>
                <w:txbxContent>
                  <w:p w14:paraId="76A71B3D" w14:textId="094C0430" w:rsidR="009D4F38" w:rsidRPr="00B203C8" w:rsidRDefault="009D4F38" w:rsidP="009D4F38">
                    <w:pPr>
                      <w:pStyle w:val="NormalWeb"/>
                      <w:rPr>
                        <w:rFonts w:ascii="Arial" w:hAnsi="Arial" w:cs="Arial"/>
                        <w:b/>
                        <w:sz w:val="26"/>
                        <w:szCs w:val="26"/>
                      </w:rPr>
                    </w:pPr>
                    <w:r w:rsidRPr="00B203C8">
                      <w:rPr>
                        <w:rFonts w:ascii="Arial" w:hAnsi="Arial" w:cs="Arial"/>
                        <w:b/>
                        <w:sz w:val="26"/>
                        <w:szCs w:val="26"/>
                      </w:rPr>
                      <w:t xml:space="preserve">For the sector, by the sector: </w:t>
                    </w:r>
                    <w:r w:rsidR="003B0F94">
                      <w:rPr>
                        <w:rFonts w:ascii="Arial" w:hAnsi="Arial" w:cs="Arial"/>
                        <w:b/>
                        <w:sz w:val="26"/>
                        <w:szCs w:val="26"/>
                      </w:rPr>
                      <w:t>Subcontracting</w:t>
                    </w:r>
                    <w:r w:rsidRPr="00B203C8">
                      <w:rPr>
                        <w:rFonts w:ascii="Arial" w:hAnsi="Arial" w:cs="Arial"/>
                        <w:b/>
                        <w:sz w:val="26"/>
                        <w:szCs w:val="26"/>
                      </w:rPr>
                      <w:t xml:space="preserve"> </w:t>
                    </w:r>
                    <w:r w:rsidR="00202B66" w:rsidRPr="00B203C8">
                      <w:rPr>
                        <w:rFonts w:ascii="Arial" w:hAnsi="Arial" w:cs="Arial"/>
                        <w:b/>
                        <w:sz w:val="26"/>
                        <w:szCs w:val="26"/>
                      </w:rPr>
                      <w:t>expectations and checklist for a main provider</w:t>
                    </w:r>
                    <w:r w:rsidRPr="00B203C8">
                      <w:rPr>
                        <w:rFonts w:ascii="Arial" w:hAnsi="Arial" w:cs="Arial"/>
                        <w:b/>
                        <w:sz w:val="26"/>
                        <w:szCs w:val="26"/>
                      </w:rPr>
                      <w:t xml:space="preserve"> </w:t>
                    </w:r>
                  </w:p>
                  <w:p w14:paraId="41627049" w14:textId="72C4EDDA" w:rsidR="00782EB3" w:rsidRPr="00564545" w:rsidRDefault="00782EB3">
                    <w:pPr>
                      <w:rPr>
                        <w:b/>
                        <w:sz w:val="36"/>
                        <w:u w:val="single"/>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A20DE01" wp14:editId="10CBABC2">
              <wp:simplePos x="0" y="0"/>
              <wp:positionH relativeFrom="column">
                <wp:posOffset>4660900</wp:posOffset>
              </wp:positionH>
              <wp:positionV relativeFrom="paragraph">
                <wp:posOffset>-386080</wp:posOffset>
              </wp:positionV>
              <wp:extent cx="1935480" cy="386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386080"/>
                      </a:xfrm>
                      <a:prstGeom prst="rect">
                        <a:avLst/>
                      </a:prstGeom>
                      <a:noFill/>
                      <a:ln w="9525">
                        <a:noFill/>
                        <a:miter lim="800000"/>
                        <a:headEnd/>
                        <a:tailEnd/>
                      </a:ln>
                    </wps:spPr>
                    <wps:txbx>
                      <w:txbxContent>
                        <w:p w14:paraId="2A20DE09" w14:textId="0C259BEF" w:rsidR="00E43515" w:rsidRDefault="00782EB3">
                          <w:r>
                            <w:rPr>
                              <w:noProof/>
                              <w:sz w:val="28"/>
                              <w:lang w:eastAsia="en-GB"/>
                            </w:rPr>
                            <w:drawing>
                              <wp:inline distT="0" distB="0" distL="0" distR="0" wp14:anchorId="19DBC73E" wp14:editId="1F774E76">
                                <wp:extent cx="1321435" cy="89344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435" cy="8934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0DE01" id="_x0000_s1027" type="#_x0000_t202" style="position:absolute;left:0;text-align:left;margin-left:367pt;margin-top:-30.4pt;width:152.4pt;height:30.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" filled="f" stroked="f">
              <v:textbox style="mso-fit-shape-to-text:t">
                <w:txbxContent>
                  <w:p w14:paraId="2A20DE09" w14:textId="0C259BEF" w:rsidR="00E43515" w:rsidRDefault="00782EB3">
                    <w:r>
                      <w:rPr>
                        <w:noProof/>
                        <w:sz w:val="28"/>
                        <w:lang w:eastAsia="en-GB"/>
                      </w:rPr>
                      <w:drawing>
                        <wp:inline distT="0" distB="0" distL="0" distR="0" wp14:anchorId="19DBC73E" wp14:editId="1F774E76">
                          <wp:extent cx="1321435" cy="89344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435" cy="893445"/>
                                  </a:xfrm>
                                  <a:prstGeom prst="rect">
                                    <a:avLst/>
                                  </a:prstGeom>
                                  <a:noFill/>
                                  <a:ln>
                                    <a:noFill/>
                                  </a:ln>
                                </pic:spPr>
                              </pic:pic>
                            </a:graphicData>
                          </a:graphic>
                        </wp:inline>
                      </w:drawing>
                    </w:r>
                  </w:p>
                </w:txbxContent>
              </v:textbox>
              <w10:wrap type="square"/>
            </v:shape>
          </w:pict>
        </mc:Fallback>
      </mc:AlternateContent>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4072" w14:textId="77777777" w:rsidR="00C47AE8" w:rsidRDefault="00C4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028A9"/>
    <w:multiLevelType w:val="hybridMultilevel"/>
    <w:tmpl w:val="BF9077EE"/>
    <w:lvl w:ilvl="0" w:tplc="2B3281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2514B"/>
    <w:multiLevelType w:val="hybridMultilevel"/>
    <w:tmpl w:val="FE8A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D5806"/>
    <w:multiLevelType w:val="hybridMultilevel"/>
    <w:tmpl w:val="573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A0411"/>
    <w:multiLevelType w:val="hybridMultilevel"/>
    <w:tmpl w:val="72FE18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A1D1D"/>
    <w:multiLevelType w:val="hybridMultilevel"/>
    <w:tmpl w:val="1F06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C9F"/>
    <w:multiLevelType w:val="hybridMultilevel"/>
    <w:tmpl w:val="571A03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F4C4321"/>
    <w:multiLevelType w:val="hybridMultilevel"/>
    <w:tmpl w:val="1478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30878"/>
    <w:multiLevelType w:val="hybridMultilevel"/>
    <w:tmpl w:val="17B0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832FB"/>
    <w:multiLevelType w:val="hybridMultilevel"/>
    <w:tmpl w:val="B1C216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57A1794"/>
    <w:multiLevelType w:val="hybridMultilevel"/>
    <w:tmpl w:val="8042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C0D62"/>
    <w:multiLevelType w:val="hybridMultilevel"/>
    <w:tmpl w:val="2C8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B5CC8"/>
    <w:multiLevelType w:val="hybridMultilevel"/>
    <w:tmpl w:val="6B7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12262"/>
    <w:multiLevelType w:val="hybridMultilevel"/>
    <w:tmpl w:val="59545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1E48F6"/>
    <w:multiLevelType w:val="hybridMultilevel"/>
    <w:tmpl w:val="845A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64912"/>
    <w:multiLevelType w:val="hybridMultilevel"/>
    <w:tmpl w:val="1950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F6FFC"/>
    <w:multiLevelType w:val="hybridMultilevel"/>
    <w:tmpl w:val="C0D09C50"/>
    <w:lvl w:ilvl="0" w:tplc="0F42BD70">
      <w:start w:val="1"/>
      <w:numFmt w:val="bullet"/>
      <w:lvlText w:val="•"/>
      <w:lvlJc w:val="left"/>
      <w:pPr>
        <w:tabs>
          <w:tab w:val="num" w:pos="720"/>
        </w:tabs>
        <w:ind w:left="720" w:hanging="360"/>
      </w:pPr>
      <w:rPr>
        <w:rFonts w:ascii="Arial" w:hAnsi="Arial" w:hint="default"/>
      </w:rPr>
    </w:lvl>
    <w:lvl w:ilvl="1" w:tplc="14F09760" w:tentative="1">
      <w:start w:val="1"/>
      <w:numFmt w:val="bullet"/>
      <w:lvlText w:val="•"/>
      <w:lvlJc w:val="left"/>
      <w:pPr>
        <w:tabs>
          <w:tab w:val="num" w:pos="1440"/>
        </w:tabs>
        <w:ind w:left="1440" w:hanging="360"/>
      </w:pPr>
      <w:rPr>
        <w:rFonts w:ascii="Arial" w:hAnsi="Arial" w:hint="default"/>
      </w:rPr>
    </w:lvl>
    <w:lvl w:ilvl="2" w:tplc="AD8C5DA0" w:tentative="1">
      <w:start w:val="1"/>
      <w:numFmt w:val="bullet"/>
      <w:lvlText w:val="•"/>
      <w:lvlJc w:val="left"/>
      <w:pPr>
        <w:tabs>
          <w:tab w:val="num" w:pos="2160"/>
        </w:tabs>
        <w:ind w:left="2160" w:hanging="360"/>
      </w:pPr>
      <w:rPr>
        <w:rFonts w:ascii="Arial" w:hAnsi="Arial" w:hint="default"/>
      </w:rPr>
    </w:lvl>
    <w:lvl w:ilvl="3" w:tplc="1F4C1BD0" w:tentative="1">
      <w:start w:val="1"/>
      <w:numFmt w:val="bullet"/>
      <w:lvlText w:val="•"/>
      <w:lvlJc w:val="left"/>
      <w:pPr>
        <w:tabs>
          <w:tab w:val="num" w:pos="2880"/>
        </w:tabs>
        <w:ind w:left="2880" w:hanging="360"/>
      </w:pPr>
      <w:rPr>
        <w:rFonts w:ascii="Arial" w:hAnsi="Arial" w:hint="default"/>
      </w:rPr>
    </w:lvl>
    <w:lvl w:ilvl="4" w:tplc="6D828DD4" w:tentative="1">
      <w:start w:val="1"/>
      <w:numFmt w:val="bullet"/>
      <w:lvlText w:val="•"/>
      <w:lvlJc w:val="left"/>
      <w:pPr>
        <w:tabs>
          <w:tab w:val="num" w:pos="3600"/>
        </w:tabs>
        <w:ind w:left="3600" w:hanging="360"/>
      </w:pPr>
      <w:rPr>
        <w:rFonts w:ascii="Arial" w:hAnsi="Arial" w:hint="default"/>
      </w:rPr>
    </w:lvl>
    <w:lvl w:ilvl="5" w:tplc="8DB4C83A" w:tentative="1">
      <w:start w:val="1"/>
      <w:numFmt w:val="bullet"/>
      <w:lvlText w:val="•"/>
      <w:lvlJc w:val="left"/>
      <w:pPr>
        <w:tabs>
          <w:tab w:val="num" w:pos="4320"/>
        </w:tabs>
        <w:ind w:left="4320" w:hanging="360"/>
      </w:pPr>
      <w:rPr>
        <w:rFonts w:ascii="Arial" w:hAnsi="Arial" w:hint="default"/>
      </w:rPr>
    </w:lvl>
    <w:lvl w:ilvl="6" w:tplc="F66A0BB8" w:tentative="1">
      <w:start w:val="1"/>
      <w:numFmt w:val="bullet"/>
      <w:lvlText w:val="•"/>
      <w:lvlJc w:val="left"/>
      <w:pPr>
        <w:tabs>
          <w:tab w:val="num" w:pos="5040"/>
        </w:tabs>
        <w:ind w:left="5040" w:hanging="360"/>
      </w:pPr>
      <w:rPr>
        <w:rFonts w:ascii="Arial" w:hAnsi="Arial" w:hint="default"/>
      </w:rPr>
    </w:lvl>
    <w:lvl w:ilvl="7" w:tplc="09928596" w:tentative="1">
      <w:start w:val="1"/>
      <w:numFmt w:val="bullet"/>
      <w:lvlText w:val="•"/>
      <w:lvlJc w:val="left"/>
      <w:pPr>
        <w:tabs>
          <w:tab w:val="num" w:pos="5760"/>
        </w:tabs>
        <w:ind w:left="5760" w:hanging="360"/>
      </w:pPr>
      <w:rPr>
        <w:rFonts w:ascii="Arial" w:hAnsi="Arial" w:hint="default"/>
      </w:rPr>
    </w:lvl>
    <w:lvl w:ilvl="8" w:tplc="2D4E93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681597"/>
    <w:multiLevelType w:val="hybridMultilevel"/>
    <w:tmpl w:val="E26A8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A6205E"/>
    <w:multiLevelType w:val="hybridMultilevel"/>
    <w:tmpl w:val="BBC40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AB47B1"/>
    <w:multiLevelType w:val="hybridMultilevel"/>
    <w:tmpl w:val="2D64A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D12D48"/>
    <w:multiLevelType w:val="hybridMultilevel"/>
    <w:tmpl w:val="C66E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1"/>
  </w:num>
  <w:num w:numId="5">
    <w:abstractNumId w:val="19"/>
  </w:num>
  <w:num w:numId="6">
    <w:abstractNumId w:val="14"/>
  </w:num>
  <w:num w:numId="7">
    <w:abstractNumId w:val="15"/>
  </w:num>
  <w:num w:numId="8">
    <w:abstractNumId w:val="6"/>
  </w:num>
  <w:num w:numId="9">
    <w:abstractNumId w:val="3"/>
  </w:num>
  <w:num w:numId="10">
    <w:abstractNumId w:val="17"/>
  </w:num>
  <w:num w:numId="11">
    <w:abstractNumId w:val="12"/>
  </w:num>
  <w:num w:numId="12">
    <w:abstractNumId w:val="18"/>
  </w:num>
  <w:num w:numId="13">
    <w:abstractNumId w:val="16"/>
  </w:num>
  <w:num w:numId="14">
    <w:abstractNumId w:val="7"/>
  </w:num>
  <w:num w:numId="15">
    <w:abstractNumId w:val="13"/>
  </w:num>
  <w:num w:numId="16">
    <w:abstractNumId w:val="9"/>
  </w:num>
  <w:num w:numId="17">
    <w:abstractNumId w:val="4"/>
  </w:num>
  <w:num w:numId="18">
    <w:abstractNumId w:val="0"/>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24"/>
    <w:rsid w:val="00003D3B"/>
    <w:rsid w:val="000057D7"/>
    <w:rsid w:val="000205C1"/>
    <w:rsid w:val="00021F34"/>
    <w:rsid w:val="00023029"/>
    <w:rsid w:val="000241F0"/>
    <w:rsid w:val="00024EE2"/>
    <w:rsid w:val="00040D91"/>
    <w:rsid w:val="00043522"/>
    <w:rsid w:val="00045734"/>
    <w:rsid w:val="00056C10"/>
    <w:rsid w:val="00093492"/>
    <w:rsid w:val="0009552F"/>
    <w:rsid w:val="000C14E1"/>
    <w:rsid w:val="000F25ED"/>
    <w:rsid w:val="000F72E3"/>
    <w:rsid w:val="0011092C"/>
    <w:rsid w:val="00117C88"/>
    <w:rsid w:val="00131813"/>
    <w:rsid w:val="00133CFC"/>
    <w:rsid w:val="00137A81"/>
    <w:rsid w:val="00150031"/>
    <w:rsid w:val="0015276F"/>
    <w:rsid w:val="00190AE2"/>
    <w:rsid w:val="001B0EFE"/>
    <w:rsid w:val="001B122C"/>
    <w:rsid w:val="00202B66"/>
    <w:rsid w:val="002175DA"/>
    <w:rsid w:val="00223229"/>
    <w:rsid w:val="00244F89"/>
    <w:rsid w:val="002535D0"/>
    <w:rsid w:val="002938AE"/>
    <w:rsid w:val="002A16CE"/>
    <w:rsid w:val="002C380D"/>
    <w:rsid w:val="002D49C4"/>
    <w:rsid w:val="002D6DC2"/>
    <w:rsid w:val="00305523"/>
    <w:rsid w:val="0032183D"/>
    <w:rsid w:val="003353F7"/>
    <w:rsid w:val="00337DE8"/>
    <w:rsid w:val="00346A90"/>
    <w:rsid w:val="00347A4B"/>
    <w:rsid w:val="003502A3"/>
    <w:rsid w:val="00370CCC"/>
    <w:rsid w:val="003730B6"/>
    <w:rsid w:val="0037540B"/>
    <w:rsid w:val="0038053E"/>
    <w:rsid w:val="003B0F94"/>
    <w:rsid w:val="003C3E9A"/>
    <w:rsid w:val="003E13F3"/>
    <w:rsid w:val="00405087"/>
    <w:rsid w:val="004267B0"/>
    <w:rsid w:val="0043722D"/>
    <w:rsid w:val="0045454B"/>
    <w:rsid w:val="004826ED"/>
    <w:rsid w:val="004A209F"/>
    <w:rsid w:val="004A4AA6"/>
    <w:rsid w:val="004A55F7"/>
    <w:rsid w:val="004E014B"/>
    <w:rsid w:val="004E4CAA"/>
    <w:rsid w:val="004F5B9D"/>
    <w:rsid w:val="004F5BC4"/>
    <w:rsid w:val="00511802"/>
    <w:rsid w:val="00531837"/>
    <w:rsid w:val="005321C9"/>
    <w:rsid w:val="00533634"/>
    <w:rsid w:val="00543969"/>
    <w:rsid w:val="00564545"/>
    <w:rsid w:val="00565D10"/>
    <w:rsid w:val="00587382"/>
    <w:rsid w:val="005B3316"/>
    <w:rsid w:val="005D4234"/>
    <w:rsid w:val="005E6444"/>
    <w:rsid w:val="006165A1"/>
    <w:rsid w:val="0064171D"/>
    <w:rsid w:val="00642636"/>
    <w:rsid w:val="006504E4"/>
    <w:rsid w:val="00663F08"/>
    <w:rsid w:val="00691300"/>
    <w:rsid w:val="006D4740"/>
    <w:rsid w:val="006D4EF3"/>
    <w:rsid w:val="006D64A1"/>
    <w:rsid w:val="006D695E"/>
    <w:rsid w:val="006E08BD"/>
    <w:rsid w:val="00705433"/>
    <w:rsid w:val="007117AD"/>
    <w:rsid w:val="0071756B"/>
    <w:rsid w:val="007339F1"/>
    <w:rsid w:val="00754BAA"/>
    <w:rsid w:val="00782EB3"/>
    <w:rsid w:val="007B7503"/>
    <w:rsid w:val="007D6487"/>
    <w:rsid w:val="007D7C31"/>
    <w:rsid w:val="007F1450"/>
    <w:rsid w:val="00803ED6"/>
    <w:rsid w:val="008242FD"/>
    <w:rsid w:val="00827814"/>
    <w:rsid w:val="008460D4"/>
    <w:rsid w:val="00855ED8"/>
    <w:rsid w:val="00861BD2"/>
    <w:rsid w:val="008911C0"/>
    <w:rsid w:val="008C1644"/>
    <w:rsid w:val="008C281D"/>
    <w:rsid w:val="008E4F46"/>
    <w:rsid w:val="009021B7"/>
    <w:rsid w:val="00926216"/>
    <w:rsid w:val="009277AE"/>
    <w:rsid w:val="00937C31"/>
    <w:rsid w:val="00950624"/>
    <w:rsid w:val="00964447"/>
    <w:rsid w:val="00965625"/>
    <w:rsid w:val="00970B94"/>
    <w:rsid w:val="0097511E"/>
    <w:rsid w:val="009930F6"/>
    <w:rsid w:val="00995204"/>
    <w:rsid w:val="00997309"/>
    <w:rsid w:val="009B18AB"/>
    <w:rsid w:val="009C0FCA"/>
    <w:rsid w:val="009D4F38"/>
    <w:rsid w:val="009E29CB"/>
    <w:rsid w:val="00A034D1"/>
    <w:rsid w:val="00A30859"/>
    <w:rsid w:val="00A4458D"/>
    <w:rsid w:val="00A579D8"/>
    <w:rsid w:val="00A67F6B"/>
    <w:rsid w:val="00A8598F"/>
    <w:rsid w:val="00AA40BE"/>
    <w:rsid w:val="00AB1A2C"/>
    <w:rsid w:val="00AC49C9"/>
    <w:rsid w:val="00AD4E8A"/>
    <w:rsid w:val="00B0592C"/>
    <w:rsid w:val="00B05E7C"/>
    <w:rsid w:val="00B13586"/>
    <w:rsid w:val="00B203C8"/>
    <w:rsid w:val="00B224E8"/>
    <w:rsid w:val="00B306F9"/>
    <w:rsid w:val="00B356B8"/>
    <w:rsid w:val="00B817C4"/>
    <w:rsid w:val="00BA3788"/>
    <w:rsid w:val="00BB4344"/>
    <w:rsid w:val="00BE4AF3"/>
    <w:rsid w:val="00C3425C"/>
    <w:rsid w:val="00C47AE8"/>
    <w:rsid w:val="00C76097"/>
    <w:rsid w:val="00CC199A"/>
    <w:rsid w:val="00CC3009"/>
    <w:rsid w:val="00CE4B66"/>
    <w:rsid w:val="00CF2D83"/>
    <w:rsid w:val="00CF6708"/>
    <w:rsid w:val="00D00576"/>
    <w:rsid w:val="00D07BBC"/>
    <w:rsid w:val="00D2360D"/>
    <w:rsid w:val="00D3071B"/>
    <w:rsid w:val="00D358CC"/>
    <w:rsid w:val="00DC44A8"/>
    <w:rsid w:val="00DC4524"/>
    <w:rsid w:val="00DF37EB"/>
    <w:rsid w:val="00DF5C49"/>
    <w:rsid w:val="00DF6F7F"/>
    <w:rsid w:val="00E04E59"/>
    <w:rsid w:val="00E20431"/>
    <w:rsid w:val="00E21BD8"/>
    <w:rsid w:val="00E329C3"/>
    <w:rsid w:val="00E43515"/>
    <w:rsid w:val="00E56D79"/>
    <w:rsid w:val="00EC586B"/>
    <w:rsid w:val="00EE495F"/>
    <w:rsid w:val="00EE7173"/>
    <w:rsid w:val="00F052E1"/>
    <w:rsid w:val="00F11186"/>
    <w:rsid w:val="00F24D75"/>
    <w:rsid w:val="00F27C9C"/>
    <w:rsid w:val="00F425D4"/>
    <w:rsid w:val="00F562A5"/>
    <w:rsid w:val="00F63B33"/>
    <w:rsid w:val="00F70632"/>
    <w:rsid w:val="00F832B9"/>
    <w:rsid w:val="00F916FF"/>
    <w:rsid w:val="00FB66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20DDBD"/>
  <w15:docId w15:val="{C0525111-51DC-4E5C-8E7F-63EA49E7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524"/>
    <w:pPr>
      <w:spacing w:after="0"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9B18AB"/>
    <w:pPr>
      <w:ind w:left="720"/>
      <w:contextualSpacing/>
    </w:pPr>
  </w:style>
  <w:style w:type="paragraph" w:styleId="Header">
    <w:name w:val="header"/>
    <w:basedOn w:val="Normal"/>
    <w:link w:val="HeaderChar"/>
    <w:uiPriority w:val="99"/>
    <w:unhideWhenUsed/>
    <w:rsid w:val="00C76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097"/>
  </w:style>
  <w:style w:type="paragraph" w:styleId="Footer">
    <w:name w:val="footer"/>
    <w:basedOn w:val="Normal"/>
    <w:link w:val="FooterChar"/>
    <w:uiPriority w:val="99"/>
    <w:unhideWhenUsed/>
    <w:rsid w:val="00C76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097"/>
  </w:style>
  <w:style w:type="paragraph" w:styleId="BodyText">
    <w:name w:val="Body Text"/>
    <w:basedOn w:val="Normal"/>
    <w:link w:val="BodyTextChar"/>
    <w:uiPriority w:val="1"/>
    <w:qFormat/>
    <w:rsid w:val="002A16CE"/>
    <w:pPr>
      <w:widowControl w:val="0"/>
      <w:autoSpaceDE w:val="0"/>
      <w:autoSpaceDN w:val="0"/>
      <w:adjustRightInd w:val="0"/>
      <w:spacing w:after="0" w:line="240" w:lineRule="auto"/>
      <w:ind w:left="119"/>
    </w:pPr>
    <w:rPr>
      <w:rFonts w:ascii="Calibri" w:eastAsia="Times New Roman" w:hAnsi="Calibri" w:cs="Times New Roman"/>
      <w:lang w:val="x-none" w:eastAsia="x-none"/>
    </w:rPr>
  </w:style>
  <w:style w:type="character" w:customStyle="1" w:styleId="BodyTextChar">
    <w:name w:val="Body Text Char"/>
    <w:basedOn w:val="DefaultParagraphFont"/>
    <w:link w:val="BodyText"/>
    <w:uiPriority w:val="1"/>
    <w:rsid w:val="002A16CE"/>
    <w:rPr>
      <w:rFonts w:ascii="Calibri" w:eastAsia="Times New Roman" w:hAnsi="Calibri" w:cs="Times New Roman"/>
      <w:lang w:val="x-none" w:eastAsia="x-none"/>
    </w:rPr>
  </w:style>
  <w:style w:type="paragraph" w:customStyle="1" w:styleId="Default">
    <w:name w:val="Default"/>
    <w:rsid w:val="002A16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A16CE"/>
    <w:rPr>
      <w:color w:val="0563C1" w:themeColor="hyperlink"/>
      <w:u w:val="single"/>
    </w:rPr>
  </w:style>
  <w:style w:type="paragraph" w:styleId="BalloonText">
    <w:name w:val="Balloon Text"/>
    <w:basedOn w:val="Normal"/>
    <w:link w:val="BalloonTextChar"/>
    <w:uiPriority w:val="99"/>
    <w:semiHidden/>
    <w:unhideWhenUsed/>
    <w:rsid w:val="002535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5D0"/>
    <w:rPr>
      <w:rFonts w:ascii="Lucida Grande" w:hAnsi="Lucida Grande" w:cs="Lucida Grande"/>
      <w:sz w:val="18"/>
      <w:szCs w:val="18"/>
    </w:rPr>
  </w:style>
  <w:style w:type="character" w:styleId="CommentReference">
    <w:name w:val="annotation reference"/>
    <w:basedOn w:val="DefaultParagraphFont"/>
    <w:uiPriority w:val="99"/>
    <w:semiHidden/>
    <w:unhideWhenUsed/>
    <w:rsid w:val="00855ED8"/>
    <w:rPr>
      <w:sz w:val="16"/>
      <w:szCs w:val="16"/>
    </w:rPr>
  </w:style>
  <w:style w:type="paragraph" w:styleId="CommentText">
    <w:name w:val="annotation text"/>
    <w:basedOn w:val="Normal"/>
    <w:link w:val="CommentTextChar"/>
    <w:uiPriority w:val="99"/>
    <w:semiHidden/>
    <w:unhideWhenUsed/>
    <w:rsid w:val="00855ED8"/>
    <w:pPr>
      <w:spacing w:line="240" w:lineRule="auto"/>
    </w:pPr>
    <w:rPr>
      <w:sz w:val="20"/>
      <w:szCs w:val="20"/>
    </w:rPr>
  </w:style>
  <w:style w:type="character" w:customStyle="1" w:styleId="CommentTextChar">
    <w:name w:val="Comment Text Char"/>
    <w:basedOn w:val="DefaultParagraphFont"/>
    <w:link w:val="CommentText"/>
    <w:uiPriority w:val="99"/>
    <w:semiHidden/>
    <w:rsid w:val="00855ED8"/>
    <w:rPr>
      <w:sz w:val="20"/>
      <w:szCs w:val="20"/>
    </w:rPr>
  </w:style>
  <w:style w:type="paragraph" w:styleId="CommentSubject">
    <w:name w:val="annotation subject"/>
    <w:basedOn w:val="CommentText"/>
    <w:next w:val="CommentText"/>
    <w:link w:val="CommentSubjectChar"/>
    <w:uiPriority w:val="99"/>
    <w:semiHidden/>
    <w:unhideWhenUsed/>
    <w:rsid w:val="00855ED8"/>
    <w:rPr>
      <w:b/>
      <w:bCs/>
    </w:rPr>
  </w:style>
  <w:style w:type="character" w:customStyle="1" w:styleId="CommentSubjectChar">
    <w:name w:val="Comment Subject Char"/>
    <w:basedOn w:val="CommentTextChar"/>
    <w:link w:val="CommentSubject"/>
    <w:uiPriority w:val="99"/>
    <w:semiHidden/>
    <w:rsid w:val="00855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17551">
      <w:bodyDiv w:val="1"/>
      <w:marLeft w:val="0"/>
      <w:marRight w:val="0"/>
      <w:marTop w:val="0"/>
      <w:marBottom w:val="0"/>
      <w:divBdr>
        <w:top w:val="none" w:sz="0" w:space="0" w:color="auto"/>
        <w:left w:val="none" w:sz="0" w:space="0" w:color="auto"/>
        <w:bottom w:val="none" w:sz="0" w:space="0" w:color="auto"/>
        <w:right w:val="none" w:sz="0" w:space="0" w:color="auto"/>
      </w:divBdr>
    </w:div>
    <w:div w:id="1042092714">
      <w:bodyDiv w:val="1"/>
      <w:marLeft w:val="0"/>
      <w:marRight w:val="0"/>
      <w:marTop w:val="0"/>
      <w:marBottom w:val="0"/>
      <w:divBdr>
        <w:top w:val="none" w:sz="0" w:space="0" w:color="auto"/>
        <w:left w:val="none" w:sz="0" w:space="0" w:color="auto"/>
        <w:bottom w:val="none" w:sz="0" w:space="0" w:color="auto"/>
        <w:right w:val="none" w:sz="0" w:space="0" w:color="auto"/>
      </w:divBdr>
    </w:div>
    <w:div w:id="20563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7389-10EA-400E-A190-5913EC94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Ashworth</dc:creator>
  <cp:keywords/>
  <dc:description/>
  <cp:lastModifiedBy>Aidan Relf</cp:lastModifiedBy>
  <cp:revision>3</cp:revision>
  <cp:lastPrinted>2019-11-15T09:21:00Z</cp:lastPrinted>
  <dcterms:created xsi:type="dcterms:W3CDTF">2019-11-15T12:15:00Z</dcterms:created>
  <dcterms:modified xsi:type="dcterms:W3CDTF">2019-11-15T15:12:00Z</dcterms:modified>
</cp:coreProperties>
</file>