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E27F" w14:textId="77777777" w:rsidR="00866B86" w:rsidRPr="00BD2380" w:rsidRDefault="00866B86" w:rsidP="00652C5A">
      <w:pPr>
        <w:ind w:left="2880"/>
        <w:rPr>
          <w:b/>
          <w:color w:val="404040" w:themeColor="text1" w:themeTint="BF"/>
          <w:sz w:val="36"/>
          <w:szCs w:val="36"/>
        </w:rPr>
      </w:pPr>
      <w:r w:rsidRPr="00BD2380">
        <w:rPr>
          <w:noProof/>
          <w:color w:val="984806" w:themeColor="accent6" w:themeShade="80"/>
          <w:sz w:val="28"/>
          <w:lang w:eastAsia="en-GB"/>
        </w:rPr>
        <w:drawing>
          <wp:anchor distT="0" distB="0" distL="114300" distR="114300" simplePos="0" relativeHeight="251660800" behindDoc="0" locked="0" layoutInCell="1" allowOverlap="1" wp14:anchorId="48ED020A" wp14:editId="47740277">
            <wp:simplePos x="0" y="0"/>
            <wp:positionH relativeFrom="column">
              <wp:posOffset>5025390</wp:posOffset>
            </wp:positionH>
            <wp:positionV relativeFrom="paragraph">
              <wp:posOffset>-741536</wp:posOffset>
            </wp:positionV>
            <wp:extent cx="1393190" cy="942975"/>
            <wp:effectExtent l="0" t="0" r="0" b="9525"/>
            <wp:wrapNone/>
            <wp:docPr id="1" name="Picture 1" descr="C:\Users\PaulW\AppData\Local\Microsoft\Windows\Temporary Internet Files\Content.Word\AELP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W\AppData\Local\Microsoft\Windows\Temporary Internet Files\Content.Word\AELP Logo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1FA67" w14:textId="77777777" w:rsidR="00084008" w:rsidRPr="009F5CEA" w:rsidRDefault="00084008" w:rsidP="001A3BC6">
      <w:pPr>
        <w:spacing w:line="360" w:lineRule="auto"/>
        <w:rPr>
          <w:noProof/>
          <w:color w:val="C05B08"/>
          <w:sz w:val="2"/>
          <w:szCs w:val="16"/>
        </w:rPr>
      </w:pPr>
    </w:p>
    <w:p w14:paraId="29D01A36" w14:textId="77777777" w:rsidR="00BC4B4A" w:rsidRPr="00AC18B4" w:rsidRDefault="00E171D4" w:rsidP="007E4DAC">
      <w:pPr>
        <w:spacing w:line="276" w:lineRule="auto"/>
        <w:rPr>
          <w:b/>
          <w:color w:val="984806" w:themeColor="accent6" w:themeShade="80"/>
          <w:sz w:val="24"/>
          <w:szCs w:val="24"/>
        </w:rPr>
      </w:pPr>
      <w:r w:rsidRPr="00AC18B4">
        <w:rPr>
          <w:b/>
          <w:color w:val="984806" w:themeColor="accent6" w:themeShade="80"/>
          <w:sz w:val="24"/>
          <w:szCs w:val="24"/>
        </w:rPr>
        <w:t xml:space="preserve">The unintended consequences of the Apprenticeship Reforms on the social </w:t>
      </w:r>
      <w:r w:rsidR="00987144">
        <w:rPr>
          <w:b/>
          <w:color w:val="984806" w:themeColor="accent6" w:themeShade="80"/>
          <w:sz w:val="24"/>
          <w:szCs w:val="24"/>
        </w:rPr>
        <w:t>equality</w:t>
      </w:r>
      <w:r w:rsidR="00987144" w:rsidRPr="00AC18B4">
        <w:rPr>
          <w:b/>
          <w:color w:val="984806" w:themeColor="accent6" w:themeShade="80"/>
          <w:sz w:val="24"/>
          <w:szCs w:val="24"/>
        </w:rPr>
        <w:t xml:space="preserve"> </w:t>
      </w:r>
      <w:r w:rsidRPr="00AC18B4">
        <w:rPr>
          <w:b/>
          <w:color w:val="984806" w:themeColor="accent6" w:themeShade="80"/>
          <w:sz w:val="24"/>
          <w:szCs w:val="24"/>
        </w:rPr>
        <w:t xml:space="preserve">of the young and the most disadvantaged. Time to act before a generation is lost. </w:t>
      </w:r>
    </w:p>
    <w:p w14:paraId="2F8A4676" w14:textId="77777777" w:rsidR="00F87840" w:rsidRPr="00BD2380" w:rsidRDefault="00F87840" w:rsidP="001A3BC6">
      <w:pPr>
        <w:jc w:val="center"/>
        <w:rPr>
          <w:b/>
          <w:color w:val="984806" w:themeColor="accent6" w:themeShade="80"/>
          <w:sz w:val="6"/>
          <w:szCs w:val="24"/>
        </w:rPr>
      </w:pPr>
    </w:p>
    <w:p w14:paraId="66BDE339" w14:textId="77777777" w:rsidR="00A55984" w:rsidRDefault="00A55984" w:rsidP="00E171D4"/>
    <w:p w14:paraId="1DC2F10E" w14:textId="77777777" w:rsidR="00AC6390" w:rsidRPr="00AC18B4" w:rsidRDefault="00AC6390" w:rsidP="00B75767">
      <w:pPr>
        <w:spacing w:line="276" w:lineRule="auto"/>
      </w:pPr>
      <w:r>
        <w:rPr>
          <w:b/>
          <w:color w:val="984806" w:themeColor="accent6" w:themeShade="80"/>
        </w:rPr>
        <w:t>Summary</w:t>
      </w:r>
    </w:p>
    <w:p w14:paraId="7409BD62" w14:textId="77777777" w:rsidR="00D2417A" w:rsidRDefault="005C1257" w:rsidP="00B75767">
      <w:pPr>
        <w:spacing w:line="276" w:lineRule="auto"/>
      </w:pPr>
      <w:r>
        <w:t xml:space="preserve">The apprenticeship reforms have </w:t>
      </w:r>
      <w:r w:rsidR="001F7760">
        <w:t>resulted in</w:t>
      </w:r>
      <w:r>
        <w:t xml:space="preserve"> the most significant shake-up to the apprenticeship system we have ever known. </w:t>
      </w:r>
      <w:r w:rsidR="00D2417A">
        <w:t xml:space="preserve"> </w:t>
      </w:r>
      <w:r>
        <w:t>In summary how apprenticeships are paid for</w:t>
      </w:r>
      <w:r w:rsidR="001F7760">
        <w:t xml:space="preserve"> has changed with the </w:t>
      </w:r>
      <w:r w:rsidR="001C4527">
        <w:t xml:space="preserve">advent of the </w:t>
      </w:r>
      <w:r w:rsidR="001F7760">
        <w:t>levy and new co-investment methodology</w:t>
      </w:r>
      <w:r>
        <w:t xml:space="preserve">, </w:t>
      </w:r>
      <w:r w:rsidR="00D2417A">
        <w:t xml:space="preserve">while </w:t>
      </w:r>
      <w:r>
        <w:t xml:space="preserve">the </w:t>
      </w:r>
      <w:r w:rsidR="00A15315">
        <w:t xml:space="preserve">product has changed with the </w:t>
      </w:r>
      <w:r>
        <w:t xml:space="preserve">transition from legacy frameworks to new employer-led standards, concluding with the changing focus of training and assessment to on-programme training and separate independent end point assessment. </w:t>
      </w:r>
    </w:p>
    <w:p w14:paraId="5E9971A2" w14:textId="77777777" w:rsidR="00D2417A" w:rsidRDefault="00D2417A" w:rsidP="00B75767">
      <w:pPr>
        <w:spacing w:line="276" w:lineRule="auto"/>
      </w:pPr>
    </w:p>
    <w:p w14:paraId="5D72CF87" w14:textId="4B3254B7" w:rsidR="00A15315" w:rsidRDefault="00D2417A" w:rsidP="00B75767">
      <w:pPr>
        <w:spacing w:line="276" w:lineRule="auto"/>
      </w:pPr>
      <w:r>
        <w:t xml:space="preserve">The arrival of </w:t>
      </w:r>
      <w:r w:rsidR="005C1257">
        <w:t>the Insti</w:t>
      </w:r>
      <w:r w:rsidR="001F7760">
        <w:t>tute for Apprenticeships</w:t>
      </w:r>
      <w:r>
        <w:t xml:space="preserve"> (IfA)</w:t>
      </w:r>
      <w:r w:rsidR="001F7760">
        <w:t xml:space="preserve"> </w:t>
      </w:r>
      <w:r w:rsidR="001C4527">
        <w:t>is</w:t>
      </w:r>
      <w:r w:rsidR="001F7760">
        <w:t xml:space="preserve"> helping to inform government of the recommended rates of fu</w:t>
      </w:r>
      <w:r>
        <w:t>nding for new programmes and support</w:t>
      </w:r>
      <w:r w:rsidR="001F7760">
        <w:t xml:space="preserve"> the trailblazer groups developing </w:t>
      </w:r>
      <w:r w:rsidR="009A3FAB">
        <w:t xml:space="preserve">the </w:t>
      </w:r>
      <w:r w:rsidR="001F7760">
        <w:t xml:space="preserve">new apprenticeship standards. </w:t>
      </w:r>
      <w:r w:rsidR="009A3FAB">
        <w:t xml:space="preserve"> The build-</w:t>
      </w:r>
      <w:r w:rsidR="00A15315">
        <w:t xml:space="preserve">up to the launch </w:t>
      </w:r>
      <w:r w:rsidR="009A3FAB">
        <w:t xml:space="preserve">of the reforms was accompanied by </w:t>
      </w:r>
      <w:r w:rsidR="00A15315">
        <w:t>ex</w:t>
      </w:r>
      <w:r w:rsidR="009A3FAB">
        <w:t>citement about</w:t>
      </w:r>
      <w:r w:rsidR="00A15315">
        <w:t xml:space="preserve"> the new apprenticeship levy and new empl</w:t>
      </w:r>
      <w:r w:rsidR="009A3FAB">
        <w:t>oyer–led standards, branded as ‘</w:t>
      </w:r>
      <w:r w:rsidR="00A15315">
        <w:t>desi</w:t>
      </w:r>
      <w:r w:rsidR="009A3FAB">
        <w:t>gned by employers for employers’, but also with</w:t>
      </w:r>
      <w:r w:rsidR="00A15315">
        <w:t xml:space="preserve"> a significant degree of concern </w:t>
      </w:r>
      <w:r w:rsidR="001E4AB5">
        <w:t xml:space="preserve">and trepidation </w:t>
      </w:r>
      <w:r w:rsidR="00A15315">
        <w:t xml:space="preserve">about the potential unintended consequences </w:t>
      </w:r>
      <w:r w:rsidR="0077279A">
        <w:t xml:space="preserve">of </w:t>
      </w:r>
      <w:r w:rsidR="001E4AB5">
        <w:t xml:space="preserve">the impact </w:t>
      </w:r>
      <w:r w:rsidR="0077279A">
        <w:t xml:space="preserve">all of these changes, coupled with changing behaviours and approaches </w:t>
      </w:r>
      <w:r w:rsidR="009A3FAB">
        <w:t>to the programme</w:t>
      </w:r>
      <w:r w:rsidR="001C4527">
        <w:t xml:space="preserve"> </w:t>
      </w:r>
      <w:r w:rsidR="0077279A">
        <w:t>from employers.</w:t>
      </w:r>
    </w:p>
    <w:p w14:paraId="189052E6" w14:textId="77777777" w:rsidR="008E632C" w:rsidRDefault="008E632C" w:rsidP="00B75767">
      <w:pPr>
        <w:spacing w:line="276" w:lineRule="auto"/>
      </w:pPr>
    </w:p>
    <w:p w14:paraId="73C907C2" w14:textId="732D5FF3" w:rsidR="006F72D4" w:rsidRDefault="008E632C" w:rsidP="008E632C">
      <w:pPr>
        <w:spacing w:line="276" w:lineRule="auto"/>
      </w:pPr>
      <w:r w:rsidRPr="008E632C">
        <w:t>Four months si</w:t>
      </w:r>
      <w:r w:rsidR="000030F0">
        <w:t>nce the start of the reforms,</w:t>
      </w:r>
      <w:r w:rsidRPr="008E632C">
        <w:t xml:space="preserve"> one of the clear unintended consequences has been the </w:t>
      </w:r>
      <w:r w:rsidR="000030F0">
        <w:t xml:space="preserve">negative </w:t>
      </w:r>
      <w:r w:rsidRPr="008E632C">
        <w:t xml:space="preserve">impact on social </w:t>
      </w:r>
      <w:r w:rsidR="00F40EF5">
        <w:t>equality</w:t>
      </w:r>
      <w:r w:rsidR="00F40EF5" w:rsidRPr="008E632C">
        <w:t xml:space="preserve"> </w:t>
      </w:r>
      <w:r w:rsidRPr="008E632C">
        <w:t>of the young and most disadvantaged through a</w:t>
      </w:r>
      <w:r w:rsidR="00E674A7">
        <w:t xml:space="preserve"> combination</w:t>
      </w:r>
      <w:r w:rsidR="00826750">
        <w:t xml:space="preserve"> of different drivers impacting engagement and </w:t>
      </w:r>
      <w:r w:rsidR="000030F0">
        <w:t>leading to a reduction in</w:t>
      </w:r>
      <w:r w:rsidR="00826750">
        <w:t xml:space="preserve"> opportunities. In summary these </w:t>
      </w:r>
      <w:r w:rsidR="00E674A7">
        <w:rPr>
          <w:b/>
        </w:rPr>
        <w:t>14</w:t>
      </w:r>
      <w:r w:rsidR="0042208E" w:rsidRPr="00D60137">
        <w:rPr>
          <w:b/>
        </w:rPr>
        <w:t xml:space="preserve"> </w:t>
      </w:r>
      <w:r w:rsidR="00E50AC3">
        <w:rPr>
          <w:b/>
        </w:rPr>
        <w:t xml:space="preserve">points to address </w:t>
      </w:r>
      <w:r w:rsidR="00E50AC3" w:rsidRPr="00E50AC3">
        <w:t>as a matter of urgency</w:t>
      </w:r>
      <w:r w:rsidR="00E50AC3">
        <w:t xml:space="preserve"> </w:t>
      </w:r>
      <w:r w:rsidR="00826750">
        <w:t>include</w:t>
      </w:r>
      <w:r w:rsidR="006F72D4">
        <w:t>:</w:t>
      </w:r>
    </w:p>
    <w:p w14:paraId="023BA540" w14:textId="77777777" w:rsidR="006F72D4" w:rsidRPr="006F72D4" w:rsidRDefault="006F72D4" w:rsidP="008E632C">
      <w:pPr>
        <w:spacing w:line="276" w:lineRule="auto"/>
      </w:pPr>
    </w:p>
    <w:p w14:paraId="7BDD6817" w14:textId="77777777" w:rsidR="0042208E" w:rsidRDefault="0042208E" w:rsidP="0042208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We believe that all</w:t>
      </w:r>
      <w:r w:rsidRPr="003C5208">
        <w:rPr>
          <w:rFonts w:ascii="Arial" w:hAnsi="Arial" w:cs="Arial"/>
        </w:rPr>
        <w:t xml:space="preserve"> 16-18 apprentices should be </w:t>
      </w:r>
      <w:r w:rsidRPr="00BF5D09">
        <w:rPr>
          <w:rFonts w:ascii="Arial" w:hAnsi="Arial" w:cs="Arial"/>
          <w:b/>
        </w:rPr>
        <w:t>fully funded</w:t>
      </w:r>
      <w:r w:rsidRPr="003C5208">
        <w:rPr>
          <w:rFonts w:ascii="Arial" w:hAnsi="Arial" w:cs="Arial"/>
        </w:rPr>
        <w:t xml:space="preserve"> by the government, regardless of whether they are employed by a micro employer, an SME or a levy paying employer</w:t>
      </w:r>
      <w:r>
        <w:rPr>
          <w:rFonts w:ascii="Arial" w:hAnsi="Arial" w:cs="Arial"/>
        </w:rPr>
        <w:t>.</w:t>
      </w:r>
      <w:r w:rsidRPr="006F72D4">
        <w:rPr>
          <w:rFonts w:ascii="Arial" w:hAnsi="Arial" w:cs="Arial"/>
        </w:rPr>
        <w:t xml:space="preserve"> </w:t>
      </w:r>
    </w:p>
    <w:p w14:paraId="77EF2C65" w14:textId="46C5698B" w:rsidR="0042208E" w:rsidRDefault="0042208E" w:rsidP="0042208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F72D4">
        <w:rPr>
          <w:rFonts w:ascii="Arial" w:hAnsi="Arial" w:cs="Arial"/>
        </w:rPr>
        <w:t xml:space="preserve">The </w:t>
      </w:r>
      <w:r w:rsidRPr="00BF5D09">
        <w:rPr>
          <w:rFonts w:ascii="Arial" w:hAnsi="Arial" w:cs="Arial"/>
          <w:b/>
        </w:rPr>
        <w:t>equalisation</w:t>
      </w:r>
      <w:r>
        <w:rPr>
          <w:rFonts w:ascii="Arial" w:hAnsi="Arial" w:cs="Arial"/>
        </w:rPr>
        <w:t xml:space="preserve"> of funding for all apprentices of all ages leads to </w:t>
      </w:r>
      <w:r w:rsidR="0001083F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>older apprentices being selected.</w:t>
      </w:r>
    </w:p>
    <w:p w14:paraId="2D870A37" w14:textId="77777777" w:rsidR="0042208E" w:rsidRPr="00457AC5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>
        <w:rPr>
          <w:rFonts w:ascii="Arial" w:eastAsia="Times New Roman" w:hAnsi="Arial" w:cs="Arial"/>
        </w:rPr>
        <w:t xml:space="preserve">The </w:t>
      </w:r>
      <w:r w:rsidRPr="00BF5D09">
        <w:rPr>
          <w:rFonts w:ascii="Arial" w:eastAsia="Times New Roman" w:hAnsi="Arial" w:cs="Arial"/>
          <w:b/>
        </w:rPr>
        <w:t>compulsory employer contribution</w:t>
      </w:r>
      <w:r w:rsidRPr="00752F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is a disincentive to hire an apprentice especially when</w:t>
      </w:r>
      <w:r w:rsidRPr="00752FB1">
        <w:rPr>
          <w:rFonts w:ascii="Arial" w:eastAsia="Times New Roman" w:hAnsi="Arial" w:cs="Arial"/>
        </w:rPr>
        <w:t xml:space="preserve"> additional work is required to support the most disadvantaged apprentices or younger apprentices with less initial work and life experience. </w:t>
      </w:r>
    </w:p>
    <w:p w14:paraId="309FACA2" w14:textId="74F821A2" w:rsidR="0042208E" w:rsidRPr="00457AC5" w:rsidRDefault="0001083F" w:rsidP="0042208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lang w:val="en"/>
        </w:rPr>
        <w:t>Employers say</w:t>
      </w:r>
      <w:r w:rsidR="0042208E" w:rsidRPr="002E5C00">
        <w:rPr>
          <w:rStyle w:val="Strong"/>
          <w:rFonts w:ascii="Arial" w:hAnsi="Arial" w:cs="Arial"/>
          <w:b w:val="0"/>
          <w:lang w:val="en"/>
        </w:rPr>
        <w:t xml:space="preserve"> </w:t>
      </w:r>
      <w:r>
        <w:rPr>
          <w:rStyle w:val="Strong"/>
          <w:rFonts w:ascii="Arial" w:hAnsi="Arial" w:cs="Arial"/>
          <w:b w:val="0"/>
          <w:lang w:val="en"/>
        </w:rPr>
        <w:t xml:space="preserve">that </w:t>
      </w:r>
      <w:r w:rsidR="0042208E" w:rsidRPr="002E5C00">
        <w:rPr>
          <w:rStyle w:val="Strong"/>
          <w:rFonts w:ascii="Arial" w:hAnsi="Arial" w:cs="Arial"/>
          <w:b w:val="0"/>
          <w:lang w:val="en"/>
        </w:rPr>
        <w:t>the rigid implementation of</w:t>
      </w:r>
      <w:r w:rsidR="0042208E" w:rsidRPr="00457AC5">
        <w:rPr>
          <w:rStyle w:val="Strong"/>
          <w:rFonts w:ascii="Arial" w:hAnsi="Arial" w:cs="Arial"/>
          <w:lang w:val="en"/>
        </w:rPr>
        <w:t xml:space="preserve"> </w:t>
      </w:r>
      <w:r w:rsidR="0042208E" w:rsidRPr="00BF5D09">
        <w:rPr>
          <w:rStyle w:val="Strong"/>
          <w:rFonts w:ascii="Arial" w:hAnsi="Arial" w:cs="Arial"/>
          <w:lang w:val="en"/>
        </w:rPr>
        <w:t>20% off-the-job training</w:t>
      </w:r>
      <w:r w:rsidR="0042208E" w:rsidRPr="00457AC5">
        <w:rPr>
          <w:rStyle w:val="Strong"/>
          <w:rFonts w:ascii="Arial" w:hAnsi="Arial" w:cs="Arial"/>
          <w:lang w:val="en"/>
        </w:rPr>
        <w:t xml:space="preserve"> </w:t>
      </w:r>
      <w:r w:rsidR="0042208E" w:rsidRPr="002E5C00">
        <w:rPr>
          <w:rStyle w:val="Strong"/>
          <w:rFonts w:ascii="Arial" w:hAnsi="Arial" w:cs="Arial"/>
          <w:b w:val="0"/>
          <w:lang w:val="en"/>
        </w:rPr>
        <w:t>is</w:t>
      </w:r>
      <w:r w:rsidR="0042208E" w:rsidRPr="00457AC5">
        <w:rPr>
          <w:rStyle w:val="Strong"/>
          <w:rFonts w:ascii="Arial" w:hAnsi="Arial" w:cs="Arial"/>
          <w:lang w:val="en"/>
        </w:rPr>
        <w:t xml:space="preserve"> </w:t>
      </w:r>
      <w:r w:rsidR="0042208E" w:rsidRPr="00457AC5">
        <w:rPr>
          <w:rFonts w:ascii="Arial" w:hAnsi="Arial" w:cs="Arial"/>
          <w:i/>
          <w:lang w:eastAsia="en-GB"/>
        </w:rPr>
        <w:t>“reducing our recruitment of level 2 apprentices”</w:t>
      </w:r>
      <w:r w:rsidR="0042208E">
        <w:rPr>
          <w:rFonts w:ascii="Arial" w:hAnsi="Arial" w:cs="Arial"/>
          <w:lang w:eastAsia="en-GB"/>
        </w:rPr>
        <w:t>.</w:t>
      </w:r>
      <w:r w:rsidR="0042208E" w:rsidRPr="00457AC5">
        <w:rPr>
          <w:rFonts w:ascii="Arial" w:hAnsi="Arial" w:cs="Arial"/>
          <w:i/>
          <w:lang w:eastAsia="en-GB"/>
        </w:rPr>
        <w:t xml:space="preserve"> </w:t>
      </w:r>
    </w:p>
    <w:p w14:paraId="78AE95B8" w14:textId="1AA45C93" w:rsidR="0042208E" w:rsidRPr="00340C4B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340C4B">
        <w:rPr>
          <w:rStyle w:val="Strong"/>
          <w:rFonts w:ascii="Arial" w:hAnsi="Arial" w:cs="Arial"/>
          <w:b w:val="0"/>
          <w:lang w:val="en"/>
        </w:rPr>
        <w:t xml:space="preserve">Training </w:t>
      </w:r>
      <w:r w:rsidRPr="008A72B0">
        <w:rPr>
          <w:rStyle w:val="Strong"/>
          <w:rFonts w:ascii="Arial" w:hAnsi="Arial" w:cs="Arial"/>
          <w:lang w:val="en"/>
        </w:rPr>
        <w:t>time for maths and English</w:t>
      </w:r>
      <w:r w:rsidR="000123F7">
        <w:rPr>
          <w:rStyle w:val="Strong"/>
          <w:rFonts w:ascii="Arial" w:hAnsi="Arial" w:cs="Arial"/>
          <w:b w:val="0"/>
          <w:lang w:val="en"/>
        </w:rPr>
        <w:t xml:space="preserve"> should be included as part of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 </w:t>
      </w:r>
      <w:r w:rsidR="0001083F">
        <w:rPr>
          <w:rStyle w:val="Strong"/>
          <w:rFonts w:ascii="Arial" w:hAnsi="Arial" w:cs="Arial"/>
          <w:b w:val="0"/>
          <w:lang w:val="en"/>
        </w:rPr>
        <w:t xml:space="preserve">the mandatory 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off-the-job training with the least able apprentices placing the heaviest burden on employers. </w:t>
      </w:r>
    </w:p>
    <w:p w14:paraId="5CB2B000" w14:textId="2E804154" w:rsidR="0042208E" w:rsidRPr="00340C4B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340C4B">
        <w:rPr>
          <w:rStyle w:val="Strong"/>
          <w:rFonts w:ascii="Arial" w:hAnsi="Arial" w:cs="Arial"/>
          <w:b w:val="0"/>
          <w:lang w:val="en"/>
        </w:rPr>
        <w:t xml:space="preserve">Provider </w:t>
      </w:r>
      <w:r w:rsidRPr="008A72B0">
        <w:rPr>
          <w:rStyle w:val="Strong"/>
          <w:rFonts w:ascii="Arial" w:hAnsi="Arial" w:cs="Arial"/>
          <w:lang w:val="en"/>
        </w:rPr>
        <w:t>funding for maths and English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 in apprenticeships is miserly at only 50% of the classroom rate, below the cost of delivery </w:t>
      </w:r>
      <w:r w:rsidR="000123F7">
        <w:rPr>
          <w:rStyle w:val="Strong"/>
          <w:rFonts w:ascii="Arial" w:hAnsi="Arial" w:cs="Arial"/>
          <w:b w:val="0"/>
          <w:lang w:val="en"/>
        </w:rPr>
        <w:t xml:space="preserve">at level 2 and most levels </w:t>
      </w:r>
      <w:bookmarkStart w:id="0" w:name="_GoBack"/>
      <w:bookmarkEnd w:id="0"/>
      <w:r w:rsidRPr="00340C4B">
        <w:rPr>
          <w:rStyle w:val="Strong"/>
          <w:rFonts w:ascii="Arial" w:hAnsi="Arial" w:cs="Arial"/>
          <w:b w:val="0"/>
          <w:lang w:val="en"/>
        </w:rPr>
        <w:t xml:space="preserve">and provides no incentive to take on the most challenging individuals.  Failure of maths or English leads to failure of the apprenticeship. </w:t>
      </w:r>
    </w:p>
    <w:p w14:paraId="4E16C917" w14:textId="77777777" w:rsidR="0042208E" w:rsidRPr="00340C4B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340C4B">
        <w:rPr>
          <w:rStyle w:val="Strong"/>
          <w:rFonts w:ascii="Arial" w:hAnsi="Arial" w:cs="Arial"/>
          <w:b w:val="0"/>
          <w:lang w:val="en"/>
        </w:rPr>
        <w:t xml:space="preserve">The replacement of the previous sound system of </w:t>
      </w:r>
      <w:r w:rsidRPr="008A72B0">
        <w:rPr>
          <w:rStyle w:val="Strong"/>
          <w:rFonts w:ascii="Arial" w:hAnsi="Arial" w:cs="Arial"/>
          <w:lang w:val="en"/>
        </w:rPr>
        <w:t>disadvantage funding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 significantly reduces the funding for the individuals.</w:t>
      </w:r>
    </w:p>
    <w:p w14:paraId="5B2D5012" w14:textId="0AA5BE9B" w:rsidR="0042208E" w:rsidRPr="00340C4B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340C4B">
        <w:rPr>
          <w:rStyle w:val="Strong"/>
          <w:rFonts w:ascii="Arial" w:hAnsi="Arial" w:cs="Arial"/>
          <w:b w:val="0"/>
          <w:lang w:val="en"/>
        </w:rPr>
        <w:t xml:space="preserve">There are still funding and performance monitoring disincentives with </w:t>
      </w:r>
      <w:r w:rsidRPr="008A72B0">
        <w:rPr>
          <w:rStyle w:val="Strong"/>
          <w:rFonts w:ascii="Arial" w:hAnsi="Arial" w:cs="Arial"/>
          <w:lang w:val="en"/>
        </w:rPr>
        <w:t>Traineeships</w:t>
      </w:r>
      <w:r w:rsidRPr="00340C4B">
        <w:rPr>
          <w:rStyle w:val="Strong"/>
          <w:rFonts w:ascii="Arial" w:hAnsi="Arial" w:cs="Arial"/>
          <w:b w:val="0"/>
          <w:lang w:val="en"/>
        </w:rPr>
        <w:t>, an important transition programme,</w:t>
      </w:r>
      <w:r w:rsidRPr="00340C4B">
        <w:rPr>
          <w:rFonts w:ascii="Arial" w:hAnsi="Arial" w:cs="Arial"/>
          <w:b/>
          <w:szCs w:val="20"/>
        </w:rPr>
        <w:t xml:space="preserve"> </w:t>
      </w:r>
      <w:r w:rsidRPr="008A72B0">
        <w:rPr>
          <w:rFonts w:ascii="Arial" w:hAnsi="Arial" w:cs="Arial"/>
          <w:szCs w:val="20"/>
        </w:rPr>
        <w:t>inhibiting their much needed growth and development.</w:t>
      </w:r>
    </w:p>
    <w:p w14:paraId="74659EC6" w14:textId="77777777" w:rsidR="0042208E" w:rsidRPr="00340C4B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340C4B">
        <w:rPr>
          <w:rStyle w:val="Strong"/>
          <w:rFonts w:ascii="Arial" w:hAnsi="Arial" w:cs="Arial"/>
          <w:b w:val="0"/>
          <w:lang w:val="en"/>
        </w:rPr>
        <w:t xml:space="preserve">Employer and provider </w:t>
      </w:r>
      <w:r w:rsidRPr="008A72B0">
        <w:rPr>
          <w:rStyle w:val="Strong"/>
          <w:rFonts w:ascii="Arial" w:hAnsi="Arial" w:cs="Arial"/>
          <w:lang w:val="en"/>
        </w:rPr>
        <w:t>young person incentives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 set at a flat rate of £1,000 rather than a proportion of the funding band are disadvantaging the longer more expensive programmes. </w:t>
      </w:r>
    </w:p>
    <w:p w14:paraId="798902C5" w14:textId="77777777" w:rsidR="0042208E" w:rsidRPr="00340C4B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340C4B">
        <w:rPr>
          <w:rStyle w:val="Strong"/>
          <w:rFonts w:ascii="Arial" w:hAnsi="Arial" w:cs="Arial"/>
          <w:b w:val="0"/>
          <w:lang w:val="en"/>
        </w:rPr>
        <w:lastRenderedPageBreak/>
        <w:t xml:space="preserve">Levy paying employers are </w:t>
      </w:r>
      <w:r w:rsidRPr="008A72B0">
        <w:rPr>
          <w:rStyle w:val="Strong"/>
          <w:rFonts w:ascii="Arial" w:hAnsi="Arial" w:cs="Arial"/>
          <w:lang w:val="en"/>
        </w:rPr>
        <w:t>prioritising existing employees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 for apprenticeships instead of recruiting new entrants and giving young people an opportunity, further restricting opportunities for young people. </w:t>
      </w:r>
    </w:p>
    <w:p w14:paraId="183C2EB0" w14:textId="77777777" w:rsidR="0042208E" w:rsidRPr="00340C4B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340C4B">
        <w:rPr>
          <w:rStyle w:val="Strong"/>
          <w:rFonts w:ascii="Arial" w:hAnsi="Arial" w:cs="Arial"/>
          <w:b w:val="0"/>
          <w:lang w:val="en"/>
        </w:rPr>
        <w:t xml:space="preserve">Levy paying employers are also </w:t>
      </w:r>
      <w:r w:rsidRPr="00340C4B">
        <w:rPr>
          <w:rStyle w:val="Strong"/>
          <w:rFonts w:ascii="Arial" w:hAnsi="Arial" w:cs="Arial"/>
          <w:lang w:val="en"/>
        </w:rPr>
        <w:t xml:space="preserve">prioritising higher and degree level apprenticeships 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over intermediate and advanced levels which are vital starting points for the young, the inexperienced and the disadvantaged.    </w:t>
      </w:r>
    </w:p>
    <w:p w14:paraId="57D7D7CC" w14:textId="77777777" w:rsidR="0042208E" w:rsidRPr="00340C4B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340C4B">
        <w:rPr>
          <w:rStyle w:val="Strong"/>
          <w:rFonts w:ascii="Arial" w:hAnsi="Arial" w:cs="Arial"/>
          <w:lang w:val="en"/>
        </w:rPr>
        <w:t>ESFA is encouraging a shift in focus from SMEs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 and small employers to larger levy paying employers. </w:t>
      </w:r>
    </w:p>
    <w:p w14:paraId="0E7EA05A" w14:textId="644997A0" w:rsidR="0042208E" w:rsidRPr="00340C4B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340C4B">
        <w:rPr>
          <w:rStyle w:val="Strong"/>
          <w:rFonts w:ascii="Arial" w:hAnsi="Arial" w:cs="Arial"/>
          <w:lang w:val="en"/>
        </w:rPr>
        <w:t>Minimum contracting threshold of £200k</w:t>
      </w:r>
      <w:r w:rsidRPr="00340C4B">
        <w:rPr>
          <w:rStyle w:val="Strong"/>
          <w:rFonts w:ascii="Arial" w:hAnsi="Arial" w:cs="Arial"/>
          <w:b w:val="0"/>
          <w:lang w:val="en"/>
        </w:rPr>
        <w:t>, without all</w:t>
      </w:r>
      <w:r w:rsidR="009D48E9">
        <w:rPr>
          <w:rStyle w:val="Strong"/>
          <w:rFonts w:ascii="Arial" w:hAnsi="Arial" w:cs="Arial"/>
          <w:b w:val="0"/>
          <w:lang w:val="en"/>
        </w:rPr>
        <w:t>owing consortium bidding, as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 preclude</w:t>
      </w:r>
      <w:r w:rsidR="009D48E9">
        <w:rPr>
          <w:rStyle w:val="Strong"/>
          <w:rFonts w:ascii="Arial" w:hAnsi="Arial" w:cs="Arial"/>
          <w:b w:val="0"/>
          <w:lang w:val="en"/>
        </w:rPr>
        <w:t>d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 around 300 existing providers from bidding </w:t>
      </w:r>
      <w:r w:rsidR="009D48E9">
        <w:rPr>
          <w:rStyle w:val="Strong"/>
          <w:rFonts w:ascii="Arial" w:hAnsi="Arial" w:cs="Arial"/>
          <w:b w:val="0"/>
          <w:lang w:val="en"/>
        </w:rPr>
        <w:t xml:space="preserve">in the recent non-levy apprenticeship funding tender 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and could also impact a further 200 through a pro-rata award due to oversubscription. Many of these </w:t>
      </w:r>
      <w:r w:rsidR="009D402B">
        <w:rPr>
          <w:rStyle w:val="Strong"/>
          <w:rFonts w:ascii="Arial" w:hAnsi="Arial" w:cs="Arial"/>
          <w:b w:val="0"/>
          <w:lang w:val="en"/>
        </w:rPr>
        <w:t xml:space="preserve">training 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providers are niche specialists with many years’ experience of working with smaller employers and offering apprenticeships in their locality, supporting young and disadvantaged apprentices. </w:t>
      </w:r>
    </w:p>
    <w:p w14:paraId="2ADA5E1C" w14:textId="77777777" w:rsidR="0042208E" w:rsidRPr="00340C4B" w:rsidRDefault="0042208E" w:rsidP="0042208E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340C4B">
        <w:rPr>
          <w:rStyle w:val="Strong"/>
          <w:rFonts w:ascii="Arial" w:hAnsi="Arial" w:cs="Arial"/>
          <w:b w:val="0"/>
          <w:lang w:val="en"/>
        </w:rPr>
        <w:t>Removal of</w:t>
      </w:r>
      <w:r w:rsidRPr="00340C4B">
        <w:rPr>
          <w:rStyle w:val="Strong"/>
          <w:rFonts w:ascii="Arial" w:hAnsi="Arial" w:cs="Arial"/>
          <w:lang w:val="en"/>
        </w:rPr>
        <w:t xml:space="preserve"> nationally recognised qualifications</w:t>
      </w:r>
      <w:r w:rsidRPr="00340C4B">
        <w:rPr>
          <w:rStyle w:val="Strong"/>
          <w:rFonts w:ascii="Arial" w:hAnsi="Arial" w:cs="Arial"/>
          <w:b w:val="0"/>
          <w:lang w:val="en"/>
        </w:rPr>
        <w:t xml:space="preserve"> from apprenticeship standards further reduces the mobility of the apprentice.</w:t>
      </w:r>
    </w:p>
    <w:p w14:paraId="6ADCCC3C" w14:textId="24C05958" w:rsidR="001821C2" w:rsidRPr="00A73AA5" w:rsidRDefault="001821C2" w:rsidP="005C6364">
      <w:pPr>
        <w:pStyle w:val="ListParagraph"/>
        <w:ind w:left="780"/>
        <w:rPr>
          <w:rStyle w:val="Strong"/>
          <w:rFonts w:ascii="Arial" w:hAnsi="Arial" w:cs="Arial"/>
          <w:b w:val="0"/>
          <w:bCs w:val="0"/>
        </w:rPr>
      </w:pPr>
    </w:p>
    <w:p w14:paraId="02AF90B7" w14:textId="77777777" w:rsidR="00A73AA5" w:rsidRPr="00A73AA5" w:rsidRDefault="00A73AA5" w:rsidP="00A73AA5"/>
    <w:p w14:paraId="1DAC6102" w14:textId="542CF15B" w:rsidR="00D60137" w:rsidRDefault="00D60137" w:rsidP="00B75767">
      <w:pPr>
        <w:spacing w:line="276" w:lineRule="auto"/>
        <w:rPr>
          <w:b/>
          <w:color w:val="984806" w:themeColor="accent6" w:themeShade="80"/>
        </w:rPr>
      </w:pPr>
    </w:p>
    <w:p w14:paraId="7B9B0C21" w14:textId="08C69DE4" w:rsidR="003C5208" w:rsidRDefault="003C5208" w:rsidP="00B75767">
      <w:pPr>
        <w:spacing w:line="276" w:lineRule="auto"/>
        <w:rPr>
          <w:b/>
          <w:color w:val="984806" w:themeColor="accent6" w:themeShade="80"/>
        </w:rPr>
      </w:pPr>
    </w:p>
    <w:p w14:paraId="46A3D672" w14:textId="77777777" w:rsidR="003C5208" w:rsidRDefault="003C5208" w:rsidP="00B75767">
      <w:pPr>
        <w:spacing w:line="276" w:lineRule="auto"/>
        <w:rPr>
          <w:b/>
          <w:color w:val="984806" w:themeColor="accent6" w:themeShade="80"/>
        </w:rPr>
      </w:pPr>
    </w:p>
    <w:p w14:paraId="18505ADC" w14:textId="77777777" w:rsidR="00D60137" w:rsidRDefault="00D60137" w:rsidP="00B75767">
      <w:pPr>
        <w:spacing w:line="276" w:lineRule="auto"/>
        <w:rPr>
          <w:b/>
          <w:color w:val="984806" w:themeColor="accent6" w:themeShade="80"/>
        </w:rPr>
      </w:pPr>
    </w:p>
    <w:p w14:paraId="51E778A4" w14:textId="77777777" w:rsidR="008853A2" w:rsidRPr="00AC18B4" w:rsidRDefault="008853A2" w:rsidP="00B75767">
      <w:pPr>
        <w:spacing w:line="276" w:lineRule="auto"/>
        <w:rPr>
          <w:b/>
          <w:color w:val="984806" w:themeColor="accent6" w:themeShade="80"/>
        </w:rPr>
      </w:pPr>
    </w:p>
    <w:p w14:paraId="380C1E38" w14:textId="77777777" w:rsidR="007717C3" w:rsidRDefault="007717C3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br w:type="page"/>
      </w:r>
    </w:p>
    <w:p w14:paraId="43F020BC" w14:textId="77777777" w:rsidR="00E171D4" w:rsidRPr="00AC18B4" w:rsidRDefault="00D008C3" w:rsidP="00B75767">
      <w:pPr>
        <w:spacing w:line="276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lastRenderedPageBreak/>
        <w:t>F</w:t>
      </w:r>
      <w:r w:rsidR="00A55984" w:rsidRPr="00AC18B4">
        <w:rPr>
          <w:b/>
          <w:color w:val="984806" w:themeColor="accent6" w:themeShade="80"/>
        </w:rPr>
        <w:t>unding for 16-18 apprentices</w:t>
      </w:r>
      <w:r w:rsidR="008E632C">
        <w:rPr>
          <w:b/>
          <w:color w:val="984806" w:themeColor="accent6" w:themeShade="80"/>
        </w:rPr>
        <w:t xml:space="preserve"> &amp; incentive payments</w:t>
      </w:r>
      <w:r w:rsidR="001B630A">
        <w:rPr>
          <w:b/>
          <w:color w:val="984806" w:themeColor="accent6" w:themeShade="80"/>
        </w:rPr>
        <w:t xml:space="preserve"> for employer and providers</w:t>
      </w:r>
    </w:p>
    <w:p w14:paraId="6E24B6B1" w14:textId="657A3A63" w:rsidR="008E632C" w:rsidRDefault="009D402B" w:rsidP="008E632C">
      <w:pPr>
        <w:spacing w:line="276" w:lineRule="auto"/>
      </w:pPr>
      <w:r>
        <w:t>AELP</w:t>
      </w:r>
      <w:r w:rsidR="008E632C" w:rsidRPr="001D5A4D">
        <w:t xml:space="preserve"> believe</w:t>
      </w:r>
      <w:r>
        <w:t>s</w:t>
      </w:r>
      <w:r w:rsidR="008E632C" w:rsidRPr="001D5A4D">
        <w:t xml:space="preserve"> strongly that the funding methodology and incentives </w:t>
      </w:r>
      <w:r w:rsidR="007717C3">
        <w:t>are</w:t>
      </w:r>
      <w:r w:rsidR="008E632C" w:rsidRPr="001D5A4D">
        <w:t xml:space="preserve"> </w:t>
      </w:r>
      <w:r w:rsidR="007717C3">
        <w:t>having</w:t>
      </w:r>
      <w:r w:rsidR="008E632C" w:rsidRPr="001D5A4D">
        <w:t xml:space="preserve"> a damaging impact on the</w:t>
      </w:r>
      <w:r w:rsidR="007717C3">
        <w:t xml:space="preserve"> current</w:t>
      </w:r>
      <w:r w:rsidR="008E632C" w:rsidRPr="001D5A4D">
        <w:t xml:space="preserve"> volume recruitment of young people </w:t>
      </w:r>
      <w:r w:rsidR="007717C3">
        <w:t xml:space="preserve">and also </w:t>
      </w:r>
      <w:r w:rsidR="008E632C" w:rsidRPr="001D5A4D">
        <w:t>moving forward. Let’s be clear</w:t>
      </w:r>
      <w:r>
        <w:t>;</w:t>
      </w:r>
      <w:r w:rsidR="008E632C" w:rsidRPr="001D5A4D">
        <w:t xml:space="preserve"> we are not asking for extra funding, but simply a reprioritisation of the funding methodology for 16-18 apprentices and the associated incentive payment uplifts.</w:t>
      </w:r>
      <w:r>
        <w:t xml:space="preserve"> </w:t>
      </w:r>
      <w:r w:rsidR="008E632C" w:rsidRPr="001D5A4D">
        <w:t xml:space="preserve"> This is to ensure providers can continue to provide a high quality programme and for employers to have a more heavily weighted financial driver to support the recruitment young people into an apprenticeship role.</w:t>
      </w:r>
      <w:r>
        <w:t xml:space="preserve"> </w:t>
      </w:r>
      <w:r w:rsidR="008E632C" w:rsidRPr="001D5A4D">
        <w:t xml:space="preserve"> Failure to address this will mean significant displacement of opportunities </w:t>
      </w:r>
      <w:r w:rsidR="00031783">
        <w:t xml:space="preserve">for </w:t>
      </w:r>
      <w:r w:rsidR="008E632C" w:rsidRPr="001D5A4D">
        <w:t xml:space="preserve">young people.  </w:t>
      </w:r>
    </w:p>
    <w:p w14:paraId="1181A1CF" w14:textId="77777777" w:rsidR="007717C3" w:rsidRPr="004D1FBF" w:rsidRDefault="007717C3" w:rsidP="008E632C">
      <w:pPr>
        <w:spacing w:line="276" w:lineRule="auto"/>
        <w:rPr>
          <w:sz w:val="14"/>
        </w:rPr>
      </w:pPr>
    </w:p>
    <w:p w14:paraId="35293F44" w14:textId="20D5727D" w:rsidR="00A55984" w:rsidRPr="00FD417A" w:rsidRDefault="00AC18B4" w:rsidP="00B75767">
      <w:pPr>
        <w:spacing w:after="60" w:line="276" w:lineRule="auto"/>
      </w:pPr>
      <w:r>
        <w:t>The funding methodol</w:t>
      </w:r>
      <w:r w:rsidR="00031783">
        <w:t>ogy implemented as part of the apprenticeship r</w:t>
      </w:r>
      <w:r>
        <w:t>e</w:t>
      </w:r>
      <w:r w:rsidR="00E1052B">
        <w:t xml:space="preserve">forms which commenced from </w:t>
      </w:r>
      <w:r>
        <w:t xml:space="preserve">May 2017 in effect equalised the base rate of funding for all age apprenticeships. </w:t>
      </w:r>
      <w:r w:rsidR="009D402B">
        <w:t xml:space="preserve"> </w:t>
      </w:r>
      <w:r>
        <w:t>Prior to May</w:t>
      </w:r>
      <w:r w:rsidR="009D402B">
        <w:t>,</w:t>
      </w:r>
      <w:r>
        <w:t xml:space="preserve"> the sector operated </w:t>
      </w:r>
      <w:r w:rsidR="006831A2">
        <w:t>under a governmen</w:t>
      </w:r>
      <w:r w:rsidR="009D402B">
        <w:t>t designed model of guaranteed ‘</w:t>
      </w:r>
      <w:r w:rsidR="006831A2">
        <w:t>f</w:t>
      </w:r>
      <w:r w:rsidR="00356A00">
        <w:t xml:space="preserve">ully </w:t>
      </w:r>
      <w:r>
        <w:t>funded</w:t>
      </w:r>
      <w:r w:rsidR="00236E1E">
        <w:t xml:space="preserve">’ </w:t>
      </w:r>
      <w:r>
        <w:t xml:space="preserve">for 16-18 apprentices, with a </w:t>
      </w:r>
      <w:r w:rsidR="00236E1E">
        <w:t>50% ‘</w:t>
      </w:r>
      <w:r>
        <w:t>co-funding</w:t>
      </w:r>
      <w:r w:rsidR="00236E1E">
        <w:t>’</w:t>
      </w:r>
      <w:r>
        <w:t xml:space="preserve"> model for apprentices aged over the ag</w:t>
      </w:r>
      <w:r w:rsidR="00236E1E">
        <w:t>e of 19 on the date they started</w:t>
      </w:r>
      <w:r>
        <w:t xml:space="preserve"> their apprenticeship.</w:t>
      </w:r>
      <w:r w:rsidR="00B75767">
        <w:t xml:space="preserve"> </w:t>
      </w:r>
      <w:r w:rsidR="00236E1E">
        <w:t xml:space="preserve"> The old a</w:t>
      </w:r>
      <w:r w:rsidR="00AC6390">
        <w:t>p</w:t>
      </w:r>
      <w:r w:rsidRPr="00AC18B4">
        <w:t>pren</w:t>
      </w:r>
      <w:r w:rsidR="00236E1E">
        <w:t>ticeship funding rates made</w:t>
      </w:r>
      <w:r w:rsidRPr="00AC18B4">
        <w:t xml:space="preserve"> taking on 16 to </w:t>
      </w:r>
      <w:r w:rsidR="006831A2" w:rsidRPr="00AC18B4">
        <w:t>18-year-old</w:t>
      </w:r>
      <w:r w:rsidRPr="00AC18B4">
        <w:t xml:space="preserve"> apprentices attractive to employers and training providers through additional funding to reflect the additional effort required.</w:t>
      </w:r>
      <w:r w:rsidR="00031783">
        <w:t xml:space="preserve"> </w:t>
      </w:r>
    </w:p>
    <w:p w14:paraId="0A6CEEF8" w14:textId="77777777" w:rsidR="001D5A4D" w:rsidRPr="004D1FBF" w:rsidRDefault="001D5A4D" w:rsidP="00B75767">
      <w:pPr>
        <w:spacing w:line="276" w:lineRule="auto"/>
        <w:rPr>
          <w:b/>
          <w:color w:val="984806" w:themeColor="accent6" w:themeShade="80"/>
          <w:sz w:val="10"/>
        </w:rPr>
      </w:pPr>
    </w:p>
    <w:p w14:paraId="10185CB7" w14:textId="5D8A5238" w:rsidR="00AC6390" w:rsidRPr="00AC6390" w:rsidRDefault="00AC6390" w:rsidP="00B75767">
      <w:pPr>
        <w:spacing w:line="276" w:lineRule="auto"/>
      </w:pPr>
      <w:r w:rsidRPr="00AC6390">
        <w:t>To offset the equalisation in funding rates between all age apprenticeships</w:t>
      </w:r>
      <w:r w:rsidR="009B4838">
        <w:t>,</w:t>
      </w:r>
      <w:r w:rsidRPr="00AC6390">
        <w:t xml:space="preserve"> the government in May 2017 also implemented a new financial incentive model to both employers and providers. </w:t>
      </w:r>
      <w:r w:rsidR="009B4838">
        <w:t xml:space="preserve"> </w:t>
      </w:r>
      <w:r w:rsidRPr="00AC6390">
        <w:t>The government currently now offer</w:t>
      </w:r>
      <w:r w:rsidR="009B4838">
        <w:t>s</w:t>
      </w:r>
      <w:r w:rsidRPr="00AC6390">
        <w:t xml:space="preserve"> both the employer and the provider a £1k incentive for each 16-18 </w:t>
      </w:r>
      <w:r w:rsidR="009B4838">
        <w:t xml:space="preserve">year old </w:t>
      </w:r>
      <w:r w:rsidRPr="00AC6390">
        <w:t xml:space="preserve">they take on and </w:t>
      </w:r>
      <w:r>
        <w:t>train. T</w:t>
      </w:r>
      <w:r w:rsidRPr="00AC6390">
        <w:t>his incentive</w:t>
      </w:r>
      <w:r w:rsidR="009B4838">
        <w:t>,</w:t>
      </w:r>
      <w:r w:rsidRPr="00AC6390">
        <w:t xml:space="preserve"> although </w:t>
      </w:r>
      <w:r w:rsidR="009B4838">
        <w:t xml:space="preserve">it </w:t>
      </w:r>
      <w:r w:rsidRPr="00AC6390">
        <w:t>applies to all employers</w:t>
      </w:r>
      <w:r w:rsidR="00031783">
        <w:t>,</w:t>
      </w:r>
      <w:r w:rsidRPr="00AC6390">
        <w:t xml:space="preserve"> is also less than the £1.5k Apprenticeship Grant for Employers (AGE) incentive </w:t>
      </w:r>
      <w:r>
        <w:t xml:space="preserve">for </w:t>
      </w:r>
      <w:r w:rsidRPr="00AC6390">
        <w:t xml:space="preserve">smaller employers </w:t>
      </w:r>
      <w:r>
        <w:t>who were previ</w:t>
      </w:r>
      <w:r w:rsidR="009B4838">
        <w:t xml:space="preserve">ously incentivised to take on </w:t>
      </w:r>
      <w:r>
        <w:t>16-24-year-old apprentices</w:t>
      </w:r>
      <w:r w:rsidRPr="00AC6390">
        <w:t>.</w:t>
      </w:r>
      <w:r w:rsidR="00031783">
        <w:t xml:space="preserve"> </w:t>
      </w:r>
      <w:r w:rsidR="009B4838">
        <w:t xml:space="preserve"> </w:t>
      </w:r>
      <w:r w:rsidR="00C11CBB">
        <w:t>In theory, it was designed to generate</w:t>
      </w:r>
      <w:r w:rsidR="00031783">
        <w:t xml:space="preserve"> more opportunities, but less for those who actually </w:t>
      </w:r>
      <w:r w:rsidR="00C11CBB">
        <w:t xml:space="preserve">really </w:t>
      </w:r>
      <w:r w:rsidR="00031783">
        <w:t>need it and also on different payment terms.</w:t>
      </w:r>
    </w:p>
    <w:p w14:paraId="11A989F0" w14:textId="77777777" w:rsidR="00AC6390" w:rsidRPr="004D1FBF" w:rsidRDefault="00AC6390" w:rsidP="00B75767">
      <w:pPr>
        <w:spacing w:line="276" w:lineRule="auto"/>
        <w:rPr>
          <w:color w:val="1F497D"/>
          <w:sz w:val="10"/>
        </w:rPr>
      </w:pPr>
    </w:p>
    <w:p w14:paraId="301D6B2B" w14:textId="2C614980" w:rsidR="00AC6390" w:rsidRPr="001D5A4D" w:rsidRDefault="00AC6390" w:rsidP="00B75767">
      <w:pPr>
        <w:spacing w:line="276" w:lineRule="auto"/>
      </w:pPr>
      <w:r w:rsidRPr="001D5A4D">
        <w:t xml:space="preserve">Many employers are also telling both AELP and our members that the flat rate </w:t>
      </w:r>
      <w:r w:rsidR="00C11CBB">
        <w:t xml:space="preserve">incentive of </w:t>
      </w:r>
      <w:r w:rsidR="0032610F">
        <w:t>£1k is not enough to opt for a school leaver over an older individual into a new apprentice role.</w:t>
      </w:r>
      <w:r w:rsidR="003A7A7A" w:rsidRPr="001D5A4D">
        <w:t xml:space="preserve"> </w:t>
      </w:r>
      <w:r w:rsidR="0032610F">
        <w:t xml:space="preserve"> Two examples </w:t>
      </w:r>
      <w:r w:rsidR="003A7A7A" w:rsidRPr="001D5A4D">
        <w:t>were shared with us in two very different sectors:</w:t>
      </w:r>
      <w:r w:rsidR="00DF7193">
        <w:t xml:space="preserve"> </w:t>
      </w:r>
      <w:r w:rsidR="0032610F">
        <w:t>i</w:t>
      </w:r>
      <w:r w:rsidR="003A7A7A" w:rsidRPr="001D5A4D">
        <w:t>n the c</w:t>
      </w:r>
      <w:r w:rsidRPr="001D5A4D">
        <w:t xml:space="preserve">onstruction </w:t>
      </w:r>
      <w:r w:rsidR="0032610F">
        <w:t xml:space="preserve">sector, </w:t>
      </w:r>
      <w:r w:rsidR="003A7A7A" w:rsidRPr="001D5A4D">
        <w:t xml:space="preserve">employers </w:t>
      </w:r>
      <w:r w:rsidR="0032610F">
        <w:t xml:space="preserve">say </w:t>
      </w:r>
      <w:r w:rsidR="003A7A7A" w:rsidRPr="001D5A4D">
        <w:t xml:space="preserve">that </w:t>
      </w:r>
      <w:r w:rsidRPr="001D5A4D">
        <w:t xml:space="preserve">the cost of additional insurance and the fact that apprentices under 18 need to be supervised at all times far outweighs a £1k grant. Some of these </w:t>
      </w:r>
      <w:r w:rsidR="003A7A7A" w:rsidRPr="001D5A4D">
        <w:t xml:space="preserve">apprenticeship </w:t>
      </w:r>
      <w:r w:rsidRPr="001D5A4D">
        <w:t xml:space="preserve">programmes </w:t>
      </w:r>
      <w:r w:rsidR="001D5A4D" w:rsidRPr="001D5A4D">
        <w:t>are also</w:t>
      </w:r>
      <w:r w:rsidRPr="001D5A4D">
        <w:t xml:space="preserve"> delivered over a 2 or </w:t>
      </w:r>
      <w:r w:rsidR="0032610F">
        <w:t xml:space="preserve">even a 3 </w:t>
      </w:r>
      <w:r w:rsidR="001D5A4D" w:rsidRPr="001D5A4D">
        <w:t>year</w:t>
      </w:r>
      <w:r w:rsidRPr="001D5A4D">
        <w:t xml:space="preserve"> period – the £1k</w:t>
      </w:r>
      <w:r w:rsidR="001D5A4D" w:rsidRPr="001D5A4D">
        <w:t xml:space="preserve"> incentive</w:t>
      </w:r>
      <w:r w:rsidRPr="001D5A4D">
        <w:t xml:space="preserve"> is the same regardless of programme</w:t>
      </w:r>
      <w:r w:rsidR="0032610F">
        <w:t>’s length,</w:t>
      </w:r>
      <w:r w:rsidRPr="001D5A4D">
        <w:t xml:space="preserve"> level</w:t>
      </w:r>
      <w:r w:rsidR="00891E0C">
        <w:t xml:space="preserve"> and the overall funding</w:t>
      </w:r>
      <w:r w:rsidRPr="001D5A4D">
        <w:t xml:space="preserve">, </w:t>
      </w:r>
      <w:r w:rsidR="0032610F">
        <w:t xml:space="preserve">and is </w:t>
      </w:r>
      <w:r w:rsidRPr="001D5A4D">
        <w:t>therefo</w:t>
      </w:r>
      <w:r w:rsidR="009A7A34">
        <w:t xml:space="preserve">re </w:t>
      </w:r>
      <w:r w:rsidR="001D5A4D" w:rsidRPr="001D5A4D">
        <w:t>even less of an incentive and an influence in the decision making process of recruiters.</w:t>
      </w:r>
      <w:r w:rsidR="00891E0C">
        <w:t xml:space="preserve"> </w:t>
      </w:r>
      <w:r w:rsidR="009A7A34">
        <w:t xml:space="preserve"> </w:t>
      </w:r>
      <w:r w:rsidR="00891E0C">
        <w:t xml:space="preserve">£1k is a significant percentage of a £2k </w:t>
      </w:r>
      <w:r w:rsidR="00F40EF5">
        <w:t>programme,</w:t>
      </w:r>
      <w:r w:rsidR="00891E0C">
        <w:t xml:space="preserve"> but not of a £27k one.</w:t>
      </w:r>
      <w:r w:rsidR="00DF7193">
        <w:t xml:space="preserve"> </w:t>
      </w:r>
      <w:r w:rsidR="009A7A34">
        <w:t xml:space="preserve"> </w:t>
      </w:r>
      <w:r w:rsidRPr="001D5A4D">
        <w:t xml:space="preserve">In </w:t>
      </w:r>
      <w:r w:rsidR="001D5A4D" w:rsidRPr="001D5A4D">
        <w:t xml:space="preserve">the </w:t>
      </w:r>
      <w:r w:rsidRPr="001D5A4D">
        <w:t>property services</w:t>
      </w:r>
      <w:r w:rsidR="001D5A4D" w:rsidRPr="001D5A4D">
        <w:t xml:space="preserve"> sector, a number of</w:t>
      </w:r>
      <w:r w:rsidRPr="001D5A4D">
        <w:t xml:space="preserve"> estate agents </w:t>
      </w:r>
      <w:r w:rsidR="001D5A4D" w:rsidRPr="001D5A4D">
        <w:t>have told us that they will happily</w:t>
      </w:r>
      <w:r w:rsidRPr="001D5A4D">
        <w:t> will forgo the £1k</w:t>
      </w:r>
      <w:r w:rsidR="001D5A4D" w:rsidRPr="001D5A4D">
        <w:t xml:space="preserve"> employer incentive to take a 19+ apprentice as</w:t>
      </w:r>
      <w:r w:rsidRPr="001D5A4D">
        <w:t xml:space="preserve"> they are </w:t>
      </w:r>
      <w:r w:rsidR="001D5A4D" w:rsidRPr="001D5A4D">
        <w:t xml:space="preserve">both </w:t>
      </w:r>
      <w:r w:rsidRPr="001D5A4D">
        <w:t>m</w:t>
      </w:r>
      <w:r w:rsidR="001D5A4D" w:rsidRPr="001D5A4D">
        <w:t xml:space="preserve">ore likely be able to drive </w:t>
      </w:r>
      <w:r w:rsidR="009A7A34">
        <w:t xml:space="preserve">a car </w:t>
      </w:r>
      <w:r w:rsidR="001D5A4D" w:rsidRPr="001D5A4D">
        <w:t xml:space="preserve">and </w:t>
      </w:r>
      <w:r w:rsidRPr="001D5A4D">
        <w:t xml:space="preserve">they don’t need to be supervised </w:t>
      </w:r>
      <w:r w:rsidR="001D5A4D" w:rsidRPr="001D5A4D">
        <w:t xml:space="preserve">at all times </w:t>
      </w:r>
      <w:r w:rsidRPr="001D5A4D">
        <w:t xml:space="preserve">so </w:t>
      </w:r>
      <w:r w:rsidR="009A7A34">
        <w:t xml:space="preserve">they </w:t>
      </w:r>
      <w:r w:rsidRPr="001D5A4D">
        <w:t>can u</w:t>
      </w:r>
      <w:r w:rsidR="001D5A4D" w:rsidRPr="001D5A4D">
        <w:t xml:space="preserve">ndertake unaccompanied viewings with customers. </w:t>
      </w:r>
      <w:r w:rsidR="009A7A34">
        <w:t xml:space="preserve"> </w:t>
      </w:r>
      <w:r w:rsidR="001D5A4D" w:rsidRPr="001D5A4D">
        <w:t xml:space="preserve">Again the employer incentive has </w:t>
      </w:r>
      <w:r w:rsidR="000B5D99">
        <w:t xml:space="preserve">had </w:t>
      </w:r>
      <w:r w:rsidR="001D5A4D" w:rsidRPr="001D5A4D">
        <w:t xml:space="preserve">negligible or no </w:t>
      </w:r>
      <w:r w:rsidR="000B5D99">
        <w:t xml:space="preserve">positive </w:t>
      </w:r>
      <w:r w:rsidR="001D5A4D" w:rsidRPr="001D5A4D">
        <w:t>influence in the decision making process of recruiters in this sector.</w:t>
      </w:r>
    </w:p>
    <w:p w14:paraId="73A52630" w14:textId="77777777" w:rsidR="00AC6390" w:rsidRPr="004D1FBF" w:rsidRDefault="00AC6390" w:rsidP="00B75767">
      <w:pPr>
        <w:spacing w:line="276" w:lineRule="auto"/>
        <w:rPr>
          <w:b/>
          <w:color w:val="984806" w:themeColor="accent6" w:themeShade="80"/>
          <w:sz w:val="18"/>
        </w:rPr>
      </w:pPr>
    </w:p>
    <w:p w14:paraId="21B6E9EA" w14:textId="750E6792" w:rsidR="00D008C3" w:rsidRDefault="003146F6" w:rsidP="00B75767">
      <w:pPr>
        <w:spacing w:line="276" w:lineRule="auto"/>
        <w:rPr>
          <w:rFonts w:eastAsia="Times New Roman"/>
        </w:rPr>
      </w:pPr>
      <w:r w:rsidRPr="006E6EC8">
        <w:rPr>
          <w:rFonts w:eastAsia="Times New Roman"/>
        </w:rPr>
        <w:t>From May 2017</w:t>
      </w:r>
      <w:r w:rsidR="009A7A34">
        <w:rPr>
          <w:rFonts w:eastAsia="Times New Roman"/>
        </w:rPr>
        <w:t>,</w:t>
      </w:r>
      <w:r w:rsidRPr="006E6EC8">
        <w:rPr>
          <w:rFonts w:eastAsia="Times New Roman"/>
        </w:rPr>
        <w:t xml:space="preserve"> SMEs were required to pay a new 10% co-investment pay</w:t>
      </w:r>
      <w:r w:rsidR="00356A00">
        <w:rPr>
          <w:rFonts w:eastAsia="Times New Roman"/>
        </w:rPr>
        <w:t>ment for all age apprentices.</w:t>
      </w:r>
      <w:r w:rsidRPr="006E6EC8">
        <w:rPr>
          <w:rFonts w:eastAsia="Times New Roman"/>
        </w:rPr>
        <w:t xml:space="preserve"> </w:t>
      </w:r>
      <w:r w:rsidR="00356A00">
        <w:rPr>
          <w:rFonts w:eastAsia="Times New Roman"/>
        </w:rPr>
        <w:t xml:space="preserve"> M</w:t>
      </w:r>
      <w:r w:rsidRPr="006E6EC8">
        <w:rPr>
          <w:rFonts w:eastAsia="Times New Roman"/>
        </w:rPr>
        <w:t>icro employers (less than 50 employees) were required to pay 10% contribution for 19+ appren</w:t>
      </w:r>
      <w:r w:rsidR="00356A00">
        <w:rPr>
          <w:rFonts w:eastAsia="Times New Roman"/>
        </w:rPr>
        <w:t>tices, although 16-18 remained ‘fully funded’</w:t>
      </w:r>
      <w:r w:rsidRPr="006E6EC8">
        <w:rPr>
          <w:rFonts w:eastAsia="Times New Roman"/>
        </w:rPr>
        <w:t xml:space="preserve"> by government. </w:t>
      </w:r>
      <w:r w:rsidR="006E6EC8" w:rsidRPr="006E6EC8">
        <w:rPr>
          <w:rFonts w:eastAsia="Times New Roman"/>
        </w:rPr>
        <w:t xml:space="preserve"> For large number</w:t>
      </w:r>
      <w:r w:rsidR="000B5D99">
        <w:rPr>
          <w:rFonts w:eastAsia="Times New Roman"/>
        </w:rPr>
        <w:t xml:space="preserve">s of employers having to make a </w:t>
      </w:r>
      <w:r w:rsidR="006E6EC8" w:rsidRPr="006E6EC8">
        <w:rPr>
          <w:rFonts w:eastAsia="Times New Roman"/>
        </w:rPr>
        <w:t>cash contribution for the first time</w:t>
      </w:r>
      <w:r w:rsidR="00356A00">
        <w:rPr>
          <w:rFonts w:eastAsia="Times New Roman"/>
        </w:rPr>
        <w:t>,</w:t>
      </w:r>
      <w:r w:rsidR="006E6EC8" w:rsidRPr="006E6EC8">
        <w:rPr>
          <w:rFonts w:eastAsia="Times New Roman"/>
        </w:rPr>
        <w:t xml:space="preserve"> there becomes even </w:t>
      </w:r>
      <w:r w:rsidR="00411A4D" w:rsidRPr="006E6EC8">
        <w:rPr>
          <w:rFonts w:eastAsia="Times New Roman"/>
        </w:rPr>
        <w:t xml:space="preserve">less </w:t>
      </w:r>
      <w:r w:rsidR="006E6EC8" w:rsidRPr="006E6EC8">
        <w:rPr>
          <w:rFonts w:eastAsia="Times New Roman"/>
        </w:rPr>
        <w:t xml:space="preserve">of an </w:t>
      </w:r>
      <w:r w:rsidR="00411A4D" w:rsidRPr="006E6EC8">
        <w:rPr>
          <w:rFonts w:eastAsia="Times New Roman"/>
        </w:rPr>
        <w:t xml:space="preserve">incentive to pay when </w:t>
      </w:r>
      <w:r w:rsidR="006E6EC8" w:rsidRPr="006E6EC8">
        <w:rPr>
          <w:rFonts w:eastAsia="Times New Roman"/>
        </w:rPr>
        <w:t>additional</w:t>
      </w:r>
      <w:r w:rsidR="00411A4D" w:rsidRPr="006E6EC8">
        <w:rPr>
          <w:rFonts w:eastAsia="Times New Roman"/>
        </w:rPr>
        <w:t xml:space="preserve"> work </w:t>
      </w:r>
      <w:r w:rsidR="006E6EC8" w:rsidRPr="006E6EC8">
        <w:rPr>
          <w:rFonts w:eastAsia="Times New Roman"/>
        </w:rPr>
        <w:t xml:space="preserve">is required </w:t>
      </w:r>
      <w:r w:rsidR="00411A4D" w:rsidRPr="006E6EC8">
        <w:rPr>
          <w:rFonts w:eastAsia="Times New Roman"/>
        </w:rPr>
        <w:t xml:space="preserve">to support the most disadvantaged </w:t>
      </w:r>
      <w:r w:rsidR="006E6EC8" w:rsidRPr="006E6EC8">
        <w:rPr>
          <w:rFonts w:eastAsia="Times New Roman"/>
        </w:rPr>
        <w:t>apprentices</w:t>
      </w:r>
      <w:r w:rsidR="00031783">
        <w:rPr>
          <w:rFonts w:eastAsia="Times New Roman"/>
        </w:rPr>
        <w:t xml:space="preserve"> or younger apprentices with less initial work and life experience</w:t>
      </w:r>
      <w:r w:rsidR="006E6EC8" w:rsidRPr="006E6EC8">
        <w:rPr>
          <w:rFonts w:eastAsia="Times New Roman"/>
        </w:rPr>
        <w:t>.</w:t>
      </w:r>
      <w:r w:rsidR="00031783">
        <w:rPr>
          <w:rFonts w:eastAsia="Times New Roman"/>
        </w:rPr>
        <w:t xml:space="preserve"> </w:t>
      </w:r>
      <w:r w:rsidR="00356A00">
        <w:rPr>
          <w:rFonts w:eastAsia="Times New Roman"/>
        </w:rPr>
        <w:t xml:space="preserve"> </w:t>
      </w:r>
      <w:r w:rsidR="00D008C3" w:rsidRPr="004B33C2">
        <w:rPr>
          <w:rFonts w:eastAsia="Times New Roman"/>
        </w:rPr>
        <w:t xml:space="preserve">The reforms also saw a change to the incumbent system for providing much needed additional disadvantage funding to support the additional intensive support required for disadvantaged apprentices. </w:t>
      </w:r>
      <w:r w:rsidR="00356A00">
        <w:rPr>
          <w:rFonts w:eastAsia="Times New Roman"/>
        </w:rPr>
        <w:t xml:space="preserve"> </w:t>
      </w:r>
      <w:r w:rsidR="00D008C3" w:rsidRPr="004B33C2">
        <w:rPr>
          <w:rFonts w:eastAsia="Times New Roman"/>
        </w:rPr>
        <w:t>The ESFA</w:t>
      </w:r>
      <w:r w:rsidR="00D008C3">
        <w:rPr>
          <w:rFonts w:eastAsia="Times New Roman"/>
        </w:rPr>
        <w:t xml:space="preserve"> admitted that the changes to how disadvantage support is now allocated were very much an interim solution. </w:t>
      </w:r>
      <w:r w:rsidR="00356A00">
        <w:rPr>
          <w:rFonts w:eastAsia="Times New Roman"/>
        </w:rPr>
        <w:t xml:space="preserve"> </w:t>
      </w:r>
      <w:r w:rsidR="00D008C3">
        <w:rPr>
          <w:rFonts w:eastAsia="Times New Roman"/>
        </w:rPr>
        <w:t xml:space="preserve">Four </w:t>
      </w:r>
      <w:r w:rsidR="00D008C3">
        <w:rPr>
          <w:rFonts w:eastAsia="Times New Roman"/>
        </w:rPr>
        <w:lastRenderedPageBreak/>
        <w:t>months into the reforms and this interim solution still has yet to be fully addressed</w:t>
      </w:r>
      <w:r w:rsidR="0007051A">
        <w:rPr>
          <w:rFonts w:eastAsia="Times New Roman"/>
        </w:rPr>
        <w:t>, further damaging the opportunities for providers to fully support the most disadvantaged potential apprentices.</w:t>
      </w:r>
    </w:p>
    <w:p w14:paraId="01386DD5" w14:textId="77777777" w:rsidR="007717C3" w:rsidRPr="00605E4B" w:rsidRDefault="007717C3" w:rsidP="00B75767">
      <w:pPr>
        <w:spacing w:line="276" w:lineRule="auto"/>
        <w:rPr>
          <w:rFonts w:eastAsia="Times New Roman"/>
          <w:sz w:val="12"/>
        </w:rPr>
      </w:pPr>
    </w:p>
    <w:p w14:paraId="55AFC594" w14:textId="67CC277F" w:rsidR="00795148" w:rsidRDefault="007717C3" w:rsidP="007717C3">
      <w:pPr>
        <w:spacing w:line="276" w:lineRule="auto"/>
      </w:pPr>
      <w:r w:rsidRPr="007717C3">
        <w:t xml:space="preserve">AELP believes that all 16-18 apprentices should be fully funded by the government, regardless of whether they are employed by a micro employer, an SME or a levy paying employer. </w:t>
      </w:r>
      <w:r w:rsidR="00795148">
        <w:t xml:space="preserve"> </w:t>
      </w:r>
      <w:r w:rsidRPr="007717C3">
        <w:t>Failure to address t</w:t>
      </w:r>
      <w:r w:rsidR="00795148">
        <w:t>his challenge will not only endanger</w:t>
      </w:r>
      <w:r w:rsidRPr="007717C3">
        <w:t xml:space="preserve"> the government</w:t>
      </w:r>
      <w:r w:rsidR="00795148">
        <w:t>’s</w:t>
      </w:r>
      <w:r w:rsidRPr="007717C3">
        <w:t xml:space="preserve"> self-imposed 3 million starts target, but </w:t>
      </w:r>
      <w:r w:rsidR="00795148">
        <w:t xml:space="preserve">could </w:t>
      </w:r>
      <w:r w:rsidRPr="007717C3">
        <w:t>also oversee a generation of displacem</w:t>
      </w:r>
      <w:r w:rsidR="00795148">
        <w:t>ent and lost opportunities for young people in England</w:t>
      </w:r>
      <w:r w:rsidRPr="007717C3">
        <w:t xml:space="preserve">. </w:t>
      </w:r>
      <w:r w:rsidR="00795148">
        <w:t xml:space="preserve"> </w:t>
      </w:r>
      <w:r w:rsidRPr="007717C3">
        <w:t>Both social opportunities and social parity should go hand in hand with the 3 million target.</w:t>
      </w:r>
      <w:r w:rsidR="003B2E77">
        <w:t xml:space="preserve"> </w:t>
      </w:r>
      <w:r w:rsidRPr="007717C3">
        <w:t xml:space="preserve"> The government also needs to review the financial incentive it offers to employers and providers to make it much more attractive.</w:t>
      </w:r>
      <w:r>
        <w:t xml:space="preserve"> </w:t>
      </w:r>
      <w:r w:rsidR="003B2E77">
        <w:t xml:space="preserve"> Furthermore AELP </w:t>
      </w:r>
      <w:r w:rsidRPr="007717C3">
        <w:t>believes that all level 2 apprentices should be fully funded by the government, regardless of the age of the apprenti</w:t>
      </w:r>
      <w:r w:rsidR="00795148">
        <w:t xml:space="preserve">ce. </w:t>
      </w:r>
    </w:p>
    <w:p w14:paraId="32992A1E" w14:textId="77777777" w:rsidR="00795148" w:rsidRDefault="00795148" w:rsidP="007717C3">
      <w:pPr>
        <w:spacing w:line="276" w:lineRule="auto"/>
      </w:pPr>
    </w:p>
    <w:p w14:paraId="6CDA4437" w14:textId="533BA797" w:rsidR="007717C3" w:rsidRPr="007717C3" w:rsidRDefault="00795148" w:rsidP="007717C3">
      <w:pPr>
        <w:spacing w:line="276" w:lineRule="auto"/>
      </w:pPr>
      <w:r>
        <w:t xml:space="preserve">To offset the cost of fully </w:t>
      </w:r>
      <w:r w:rsidR="007717C3" w:rsidRPr="007717C3">
        <w:t xml:space="preserve">funding all 16-18 and level 2 provision, the government should raise the employer co-investment on a new sliding scale, starting with 10% at level 3, 20% at level 4, 30% at level 5, 40% at level 6 and 50% at level 7 apprenticeships for apprentices over the age of 19. </w:t>
      </w:r>
    </w:p>
    <w:p w14:paraId="0C77E8E5" w14:textId="77777777" w:rsidR="00411A4D" w:rsidRPr="00605E4B" w:rsidRDefault="00411A4D" w:rsidP="00B75767">
      <w:pPr>
        <w:spacing w:line="276" w:lineRule="auto"/>
        <w:rPr>
          <w:b/>
          <w:color w:val="984806" w:themeColor="accent6" w:themeShade="80"/>
          <w:sz w:val="16"/>
        </w:rPr>
      </w:pPr>
    </w:p>
    <w:p w14:paraId="6F2E6265" w14:textId="77777777" w:rsidR="00411A4D" w:rsidRPr="00AC18B4" w:rsidRDefault="00411A4D" w:rsidP="00411A4D">
      <w:pPr>
        <w:spacing w:line="276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Standards and End Point Assessment</w:t>
      </w:r>
    </w:p>
    <w:p w14:paraId="6181A849" w14:textId="7A591478" w:rsidR="008519F8" w:rsidRDefault="0076750A" w:rsidP="006B0480">
      <w:pPr>
        <w:spacing w:line="276" w:lineRule="auto"/>
        <w:rPr>
          <w:rFonts w:eastAsia="Times New Roman"/>
        </w:rPr>
      </w:pPr>
      <w:r>
        <w:rPr>
          <w:rFonts w:eastAsia="Times New Roman"/>
        </w:rPr>
        <w:t>The development of apprent</w:t>
      </w:r>
      <w:r w:rsidR="003B2E77">
        <w:rPr>
          <w:rFonts w:eastAsia="Times New Roman"/>
        </w:rPr>
        <w:t xml:space="preserve">iceships standards has </w:t>
      </w:r>
      <w:r w:rsidR="000C47C4">
        <w:rPr>
          <w:rFonts w:eastAsia="Times New Roman"/>
        </w:rPr>
        <w:t xml:space="preserve">resulted in a </w:t>
      </w:r>
      <w:r>
        <w:rPr>
          <w:rFonts w:eastAsia="Times New Roman"/>
        </w:rPr>
        <w:t>switch</w:t>
      </w:r>
      <w:r w:rsidR="000C47C4">
        <w:rPr>
          <w:rFonts w:eastAsia="Times New Roman"/>
        </w:rPr>
        <w:t xml:space="preserve"> from a </w:t>
      </w:r>
      <w:r w:rsidR="00DB380C">
        <w:rPr>
          <w:rFonts w:eastAsia="Times New Roman"/>
        </w:rPr>
        <w:t xml:space="preserve">focus on entry level roles to higher level programmes. </w:t>
      </w:r>
      <w:r w:rsidR="00007ED9">
        <w:rPr>
          <w:rFonts w:eastAsia="Times New Roman"/>
        </w:rPr>
        <w:t xml:space="preserve"> </w:t>
      </w:r>
      <w:r w:rsidR="00DB380C">
        <w:rPr>
          <w:rFonts w:eastAsia="Times New Roman"/>
        </w:rPr>
        <w:t>Under</w:t>
      </w:r>
      <w:r w:rsidR="008519F8">
        <w:rPr>
          <w:rFonts w:eastAsia="Times New Roman"/>
        </w:rPr>
        <w:t xml:space="preserve"> the framework system over 99% of all apprentices</w:t>
      </w:r>
      <w:r w:rsidR="00031783">
        <w:rPr>
          <w:rFonts w:eastAsia="Times New Roman"/>
        </w:rPr>
        <w:t>hip frameworks</w:t>
      </w:r>
      <w:r w:rsidR="008519F8">
        <w:rPr>
          <w:rFonts w:eastAsia="Times New Roman"/>
        </w:rPr>
        <w:t xml:space="preserve"> delivered were at either level 2 </w:t>
      </w:r>
      <w:r w:rsidR="00031783">
        <w:rPr>
          <w:rFonts w:eastAsia="Times New Roman"/>
        </w:rPr>
        <w:t xml:space="preserve">(Intermediate) </w:t>
      </w:r>
      <w:r w:rsidR="008519F8">
        <w:rPr>
          <w:rFonts w:eastAsia="Times New Roman"/>
        </w:rPr>
        <w:t>or level 3</w:t>
      </w:r>
      <w:r w:rsidR="00031783">
        <w:rPr>
          <w:rFonts w:eastAsia="Times New Roman"/>
        </w:rPr>
        <w:t xml:space="preserve"> (Advanced)</w:t>
      </w:r>
      <w:r w:rsidR="008519F8">
        <w:rPr>
          <w:rFonts w:eastAsia="Times New Roman"/>
        </w:rPr>
        <w:t xml:space="preserve">. </w:t>
      </w:r>
      <w:r w:rsidR="00C55928">
        <w:rPr>
          <w:rFonts w:eastAsia="Times New Roman"/>
        </w:rPr>
        <w:t xml:space="preserve"> </w:t>
      </w:r>
      <w:r w:rsidR="008519F8">
        <w:rPr>
          <w:rFonts w:eastAsia="Times New Roman"/>
        </w:rPr>
        <w:t>In September 2017 circa 25% of all 175 approved apprenticeship standards are at level 4 or above.</w:t>
      </w:r>
      <w:r>
        <w:rPr>
          <w:rFonts w:eastAsia="Times New Roman"/>
        </w:rPr>
        <w:t xml:space="preserve"> </w:t>
      </w:r>
      <w:r w:rsidR="00DB380C">
        <w:rPr>
          <w:rFonts w:eastAsia="Times New Roman"/>
        </w:rPr>
        <w:t xml:space="preserve"> </w:t>
      </w:r>
      <w:r w:rsidR="008519F8">
        <w:rPr>
          <w:rFonts w:eastAsia="Times New Roman"/>
        </w:rPr>
        <w:t>Comparab</w:t>
      </w:r>
      <w:r>
        <w:rPr>
          <w:rFonts w:eastAsia="Times New Roman"/>
        </w:rPr>
        <w:t>ly</w:t>
      </w:r>
      <w:r w:rsidR="008519F8">
        <w:rPr>
          <w:rFonts w:eastAsia="Times New Roman"/>
        </w:rPr>
        <w:t xml:space="preserve"> a level 6 Chartered Manager Degree Apprenticeship attracts up to £27,000 of funding for one individual, which purchases the equivalent </w:t>
      </w:r>
      <w:r w:rsidR="00031783">
        <w:rPr>
          <w:rFonts w:eastAsia="Times New Roman"/>
        </w:rPr>
        <w:t xml:space="preserve">to </w:t>
      </w:r>
      <w:r w:rsidR="00C55928">
        <w:rPr>
          <w:rFonts w:eastAsia="Times New Roman"/>
        </w:rPr>
        <w:t>9</w:t>
      </w:r>
      <w:r w:rsidR="008519F8">
        <w:rPr>
          <w:rFonts w:eastAsia="Times New Roman"/>
        </w:rPr>
        <w:t xml:space="preserve"> apprentices on the £3,000 funded level 3 Lead Care Worker standard.</w:t>
      </w:r>
      <w:r w:rsidR="00B638A0">
        <w:rPr>
          <w:rFonts w:eastAsia="Times New Roman"/>
        </w:rPr>
        <w:t xml:space="preserve"> </w:t>
      </w:r>
      <w:r w:rsidR="008519F8">
        <w:rPr>
          <w:rFonts w:eastAsia="Times New Roman"/>
        </w:rPr>
        <w:t xml:space="preserve"> </w:t>
      </w:r>
      <w:r w:rsidR="00B638A0">
        <w:rPr>
          <w:rFonts w:eastAsia="Times New Roman"/>
        </w:rPr>
        <w:t>Placed in the context of the Brexit skills challenges, i</w:t>
      </w:r>
      <w:r w:rsidR="004D1FBF">
        <w:rPr>
          <w:rFonts w:eastAsia="Times New Roman"/>
        </w:rPr>
        <w:t>s it equitable for a</w:t>
      </w:r>
      <w:r w:rsidR="00031783">
        <w:rPr>
          <w:rFonts w:eastAsia="Times New Roman"/>
        </w:rPr>
        <w:t xml:space="preserve"> qualified </w:t>
      </w:r>
      <w:r w:rsidR="004D1FBF">
        <w:rPr>
          <w:rFonts w:eastAsia="Times New Roman"/>
        </w:rPr>
        <w:t xml:space="preserve">professional </w:t>
      </w:r>
      <w:r w:rsidR="00031783">
        <w:rPr>
          <w:rFonts w:eastAsia="Times New Roman"/>
        </w:rPr>
        <w:t xml:space="preserve">manager </w:t>
      </w:r>
      <w:r w:rsidR="00C55928">
        <w:rPr>
          <w:rFonts w:eastAsia="Times New Roman"/>
        </w:rPr>
        <w:t xml:space="preserve">with a degree to </w:t>
      </w:r>
      <w:r w:rsidR="004D1FBF">
        <w:rPr>
          <w:rFonts w:eastAsia="Times New Roman"/>
        </w:rPr>
        <w:t>re</w:t>
      </w:r>
      <w:r w:rsidR="00C55928">
        <w:rPr>
          <w:rFonts w:eastAsia="Times New Roman"/>
        </w:rPr>
        <w:t>ally cost the equivalent to 9</w:t>
      </w:r>
      <w:r w:rsidR="004D1FBF">
        <w:rPr>
          <w:rFonts w:eastAsia="Times New Roman"/>
        </w:rPr>
        <w:t xml:space="preserve"> care workers working in the Health and Social Care sector?</w:t>
      </w:r>
    </w:p>
    <w:p w14:paraId="4621F26E" w14:textId="77777777" w:rsidR="00DB380C" w:rsidRPr="004D1FBF" w:rsidRDefault="00DB380C" w:rsidP="006B0480">
      <w:pPr>
        <w:spacing w:line="276" w:lineRule="auto"/>
        <w:rPr>
          <w:rFonts w:eastAsia="Times New Roman"/>
          <w:sz w:val="10"/>
        </w:rPr>
      </w:pPr>
    </w:p>
    <w:p w14:paraId="767E1020" w14:textId="5C4CF5E9" w:rsidR="009C2CA8" w:rsidRDefault="00B638A0" w:rsidP="006B0480">
      <w:pPr>
        <w:spacing w:line="276" w:lineRule="auto"/>
        <w:rPr>
          <w:rFonts w:eastAsia="Times New Roman"/>
        </w:rPr>
      </w:pPr>
      <w:r>
        <w:rPr>
          <w:rFonts w:eastAsia="Times New Roman"/>
        </w:rPr>
        <w:t>While</w:t>
      </w:r>
      <w:r w:rsidR="00DB380C">
        <w:rPr>
          <w:rFonts w:eastAsia="Times New Roman"/>
        </w:rPr>
        <w:t xml:space="preserve"> the development of new higher level degree and degree-level apprenticesh</w:t>
      </w:r>
      <w:r w:rsidR="000C47C4">
        <w:rPr>
          <w:rFonts w:eastAsia="Times New Roman"/>
        </w:rPr>
        <w:t xml:space="preserve">ips offers employers </w:t>
      </w:r>
      <w:r>
        <w:rPr>
          <w:rFonts w:eastAsia="Times New Roman"/>
        </w:rPr>
        <w:t>welcome</w:t>
      </w:r>
      <w:r w:rsidR="000C47C4">
        <w:rPr>
          <w:rFonts w:eastAsia="Times New Roman"/>
        </w:rPr>
        <w:t>, additional</w:t>
      </w:r>
      <w:r w:rsidR="00DB380C">
        <w:rPr>
          <w:rFonts w:eastAsia="Times New Roman"/>
        </w:rPr>
        <w:t xml:space="preserve"> choice and will no doubt play a role in tack</w:t>
      </w:r>
      <w:r>
        <w:rPr>
          <w:rFonts w:eastAsia="Times New Roman"/>
        </w:rPr>
        <w:t>l</w:t>
      </w:r>
      <w:r w:rsidR="005015D8">
        <w:rPr>
          <w:rFonts w:eastAsia="Times New Roman"/>
        </w:rPr>
        <w:t>ing the skills gaps</w:t>
      </w:r>
      <w:r w:rsidR="00DB380C">
        <w:rPr>
          <w:rFonts w:eastAsia="Times New Roman"/>
        </w:rPr>
        <w:t xml:space="preserve"> identified in the</w:t>
      </w:r>
      <w:r>
        <w:rPr>
          <w:rFonts w:eastAsia="Times New Roman"/>
        </w:rPr>
        <w:t xml:space="preserve"> Industrial Strategy</w:t>
      </w:r>
      <w:r w:rsidR="00DB380C">
        <w:rPr>
          <w:rFonts w:eastAsia="Times New Roman"/>
        </w:rPr>
        <w:t xml:space="preserve">, it does </w:t>
      </w:r>
      <w:r w:rsidR="004D1FBF">
        <w:rPr>
          <w:rFonts w:eastAsia="Times New Roman"/>
        </w:rPr>
        <w:t xml:space="preserve">however </w:t>
      </w:r>
      <w:r w:rsidR="005015D8">
        <w:rPr>
          <w:rFonts w:eastAsia="Times New Roman"/>
        </w:rPr>
        <w:t xml:space="preserve">show </w:t>
      </w:r>
      <w:r w:rsidR="00552DF1">
        <w:rPr>
          <w:rFonts w:eastAsia="Times New Roman"/>
        </w:rPr>
        <w:t xml:space="preserve"> that these</w:t>
      </w:r>
      <w:r w:rsidR="00DB380C">
        <w:rPr>
          <w:rFonts w:eastAsia="Times New Roman"/>
        </w:rPr>
        <w:t xml:space="preserve"> apprent</w:t>
      </w:r>
      <w:r w:rsidR="005015D8">
        <w:rPr>
          <w:rFonts w:eastAsia="Times New Roman"/>
        </w:rPr>
        <w:t>iceships are likely to take over half</w:t>
      </w:r>
      <w:r w:rsidR="00DB380C">
        <w:rPr>
          <w:rFonts w:eastAsia="Times New Roman"/>
        </w:rPr>
        <w:t xml:space="preserve"> of the </w:t>
      </w:r>
      <w:r w:rsidR="00C15D23">
        <w:rPr>
          <w:rFonts w:eastAsia="Times New Roman"/>
        </w:rPr>
        <w:t xml:space="preserve">available </w:t>
      </w:r>
      <w:r w:rsidR="00DB380C">
        <w:rPr>
          <w:rFonts w:eastAsia="Times New Roman"/>
        </w:rPr>
        <w:t>funding, leaving less money for t</w:t>
      </w:r>
      <w:r w:rsidR="00D6329A">
        <w:rPr>
          <w:rFonts w:eastAsia="Times New Roman"/>
        </w:rPr>
        <w:t xml:space="preserve">he entry level apprenticeships. </w:t>
      </w:r>
      <w:r w:rsidR="00552DF1">
        <w:rPr>
          <w:rFonts w:eastAsia="Times New Roman"/>
        </w:rPr>
        <w:t xml:space="preserve"> </w:t>
      </w:r>
      <w:r w:rsidR="00D6329A">
        <w:rPr>
          <w:rFonts w:eastAsia="Times New Roman"/>
        </w:rPr>
        <w:t>T</w:t>
      </w:r>
      <w:r w:rsidR="00DB380C">
        <w:rPr>
          <w:rFonts w:eastAsia="Times New Roman"/>
        </w:rPr>
        <w:t xml:space="preserve">he </w:t>
      </w:r>
      <w:r w:rsidR="00C15D23">
        <w:rPr>
          <w:rFonts w:eastAsia="Times New Roman"/>
        </w:rPr>
        <w:t xml:space="preserve">new </w:t>
      </w:r>
      <w:r w:rsidR="00DB380C">
        <w:rPr>
          <w:rFonts w:eastAsia="Times New Roman"/>
        </w:rPr>
        <w:t>focus</w:t>
      </w:r>
      <w:r w:rsidR="00552DF1">
        <w:rPr>
          <w:rFonts w:eastAsia="Times New Roman"/>
        </w:rPr>
        <w:t xml:space="preserve"> </w:t>
      </w:r>
      <w:r w:rsidR="00DB380C">
        <w:rPr>
          <w:rFonts w:eastAsia="Times New Roman"/>
        </w:rPr>
        <w:t xml:space="preserve">has </w:t>
      </w:r>
      <w:r w:rsidR="00D6329A">
        <w:rPr>
          <w:rFonts w:eastAsia="Times New Roman"/>
        </w:rPr>
        <w:t xml:space="preserve">also </w:t>
      </w:r>
      <w:r w:rsidR="00552DF1">
        <w:rPr>
          <w:rFonts w:eastAsia="Times New Roman"/>
        </w:rPr>
        <w:t xml:space="preserve">resulted in some </w:t>
      </w:r>
      <w:r w:rsidR="00DB380C">
        <w:rPr>
          <w:rFonts w:eastAsia="Times New Roman"/>
        </w:rPr>
        <w:t xml:space="preserve">sectors </w:t>
      </w:r>
      <w:r w:rsidR="00D6329A">
        <w:rPr>
          <w:rFonts w:eastAsia="Times New Roman"/>
        </w:rPr>
        <w:t>with</w:t>
      </w:r>
      <w:r w:rsidR="00DB380C">
        <w:rPr>
          <w:rFonts w:eastAsia="Times New Roman"/>
        </w:rPr>
        <w:t xml:space="preserve"> no lower level starting points to act as stepping stones for apprentices to </w:t>
      </w:r>
      <w:r w:rsidR="00D6329A">
        <w:rPr>
          <w:rFonts w:eastAsia="Times New Roman"/>
        </w:rPr>
        <w:t>enter</w:t>
      </w:r>
      <w:r w:rsidR="00552DF1">
        <w:rPr>
          <w:rFonts w:eastAsia="Times New Roman"/>
        </w:rPr>
        <w:t xml:space="preserve"> the j</w:t>
      </w:r>
      <w:r w:rsidR="00C15D23">
        <w:rPr>
          <w:rFonts w:eastAsia="Times New Roman"/>
        </w:rPr>
        <w:t>ob market</w:t>
      </w:r>
      <w:r w:rsidR="00DB380C">
        <w:rPr>
          <w:rFonts w:eastAsia="Times New Roman"/>
        </w:rPr>
        <w:t xml:space="preserve">. Not all apprentices are capable of entering straight onto level 4+ programmes, creating serious concerns about social </w:t>
      </w:r>
      <w:r w:rsidR="00F40EF5">
        <w:rPr>
          <w:rFonts w:eastAsia="Times New Roman"/>
        </w:rPr>
        <w:t xml:space="preserve">equality </w:t>
      </w:r>
      <w:r w:rsidR="00DB380C">
        <w:rPr>
          <w:rFonts w:eastAsia="Times New Roman"/>
        </w:rPr>
        <w:t xml:space="preserve">and accessibility of opportunity. </w:t>
      </w:r>
    </w:p>
    <w:p w14:paraId="1CB8A669" w14:textId="77777777" w:rsidR="009C2CA8" w:rsidRDefault="009C2CA8" w:rsidP="006B0480">
      <w:pPr>
        <w:spacing w:line="276" w:lineRule="auto"/>
        <w:rPr>
          <w:rFonts w:eastAsia="Times New Roman"/>
        </w:rPr>
      </w:pPr>
    </w:p>
    <w:p w14:paraId="7DD1A920" w14:textId="2452982A" w:rsidR="003364A1" w:rsidRDefault="003364A1" w:rsidP="006B0480">
      <w:pPr>
        <w:spacing w:line="276" w:lineRule="auto"/>
        <w:rPr>
          <w:rFonts w:eastAsia="Times New Roman"/>
        </w:rPr>
      </w:pPr>
      <w:r>
        <w:rPr>
          <w:rFonts w:eastAsia="Times New Roman"/>
        </w:rPr>
        <w:t>There is no doubt that t</w:t>
      </w:r>
      <w:r>
        <w:t xml:space="preserve">here will always be a need for good quality level 2 and 3 </w:t>
      </w:r>
      <w:r w:rsidR="00FE2DA2">
        <w:t>worked based</w:t>
      </w:r>
      <w:r>
        <w:t xml:space="preserve"> learning </w:t>
      </w:r>
      <w:r w:rsidR="00FE2DA2">
        <w:t>programmes, especially with the Industrial S</w:t>
      </w:r>
      <w:r>
        <w:t xml:space="preserve">trategy and </w:t>
      </w:r>
      <w:r w:rsidR="00C15D23">
        <w:t>the skills implications</w:t>
      </w:r>
      <w:r w:rsidR="00FE2DA2">
        <w:t xml:space="preserve"> of </w:t>
      </w:r>
      <w:r>
        <w:t>Brexit</w:t>
      </w:r>
      <w:r w:rsidR="00FE2DA2">
        <w:t>.</w:t>
      </w:r>
      <w:r w:rsidR="009C2CA8">
        <w:t xml:space="preserve"> </w:t>
      </w:r>
      <w:r w:rsidR="00FE2DA2">
        <w:t xml:space="preserve"> I</w:t>
      </w:r>
      <w:r>
        <w:t xml:space="preserve">f the new system squeezes </w:t>
      </w:r>
      <w:r w:rsidR="00FE2DA2">
        <w:t>these types of</w:t>
      </w:r>
      <w:r>
        <w:t xml:space="preserve"> apprenticeships </w:t>
      </w:r>
      <w:r w:rsidR="00FE2DA2">
        <w:t xml:space="preserve">out of the market, then </w:t>
      </w:r>
      <w:r>
        <w:t xml:space="preserve">the </w:t>
      </w:r>
      <w:r w:rsidR="00FE2DA2">
        <w:t>g</w:t>
      </w:r>
      <w:r>
        <w:t xml:space="preserve">overnment will have to find the money </w:t>
      </w:r>
      <w:r w:rsidR="00FE2DA2">
        <w:t>from</w:t>
      </w:r>
      <w:r>
        <w:t xml:space="preserve"> somewhere</w:t>
      </w:r>
      <w:r w:rsidR="00FE2DA2">
        <w:t xml:space="preserve"> to support this gap in provision to support the needs of the economy.</w:t>
      </w:r>
    </w:p>
    <w:p w14:paraId="7B0DAC4F" w14:textId="77777777" w:rsidR="008519F8" w:rsidRPr="004D1FBF" w:rsidRDefault="008519F8" w:rsidP="00411A4D">
      <w:pPr>
        <w:rPr>
          <w:rFonts w:eastAsia="Times New Roman"/>
          <w:sz w:val="12"/>
        </w:rPr>
      </w:pPr>
    </w:p>
    <w:p w14:paraId="56984E2E" w14:textId="7F1E5C3F" w:rsidR="00411A4D" w:rsidRDefault="001F7FF7" w:rsidP="00B75767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Furthermore, the </w:t>
      </w:r>
      <w:r w:rsidR="006B0480">
        <w:rPr>
          <w:rFonts w:eastAsia="Times New Roman"/>
        </w:rPr>
        <w:t xml:space="preserve">government’s move to restrict the use of nationally recognised qualifications from apprenticeship standards and move towards the </w:t>
      </w:r>
      <w:r>
        <w:rPr>
          <w:rFonts w:eastAsia="Times New Roman"/>
        </w:rPr>
        <w:t xml:space="preserve">development of new end point assessment </w:t>
      </w:r>
      <w:r w:rsidR="00C363CB">
        <w:rPr>
          <w:rFonts w:eastAsia="Times New Roman"/>
        </w:rPr>
        <w:t xml:space="preserve">(EPA) </w:t>
      </w:r>
      <w:r w:rsidR="006B0480">
        <w:rPr>
          <w:rFonts w:eastAsia="Times New Roman"/>
        </w:rPr>
        <w:t xml:space="preserve">has the double impact of meaning </w:t>
      </w:r>
      <w:r w:rsidR="00E36322">
        <w:rPr>
          <w:rFonts w:eastAsia="Times New Roman"/>
        </w:rPr>
        <w:t xml:space="preserve">that </w:t>
      </w:r>
      <w:r w:rsidR="006B0480">
        <w:rPr>
          <w:rFonts w:eastAsia="Times New Roman"/>
        </w:rPr>
        <w:t>apprentices</w:t>
      </w:r>
      <w:r w:rsidR="00A949B4">
        <w:rPr>
          <w:rFonts w:eastAsia="Times New Roman"/>
        </w:rPr>
        <w:t>,</w:t>
      </w:r>
      <w:r w:rsidR="006B0480">
        <w:rPr>
          <w:rFonts w:eastAsia="Times New Roman"/>
        </w:rPr>
        <w:t xml:space="preserve"> who fail t</w:t>
      </w:r>
      <w:r w:rsidR="00D6329A">
        <w:rPr>
          <w:rFonts w:eastAsia="Times New Roman"/>
        </w:rPr>
        <w:t>o complete, leave</w:t>
      </w:r>
      <w:r w:rsidR="006B0480">
        <w:rPr>
          <w:rFonts w:eastAsia="Times New Roman"/>
        </w:rPr>
        <w:t xml:space="preserve"> the programme with nothing tangible (such as unit accreditation)</w:t>
      </w:r>
      <w:r w:rsidR="00E401D1">
        <w:rPr>
          <w:rFonts w:eastAsia="Times New Roman"/>
        </w:rPr>
        <w:t xml:space="preserve"> and</w:t>
      </w:r>
      <w:r w:rsidR="00A949B4">
        <w:rPr>
          <w:rFonts w:eastAsia="Times New Roman"/>
        </w:rPr>
        <w:t xml:space="preserve"> this system also disadvantages</w:t>
      </w:r>
      <w:r w:rsidR="00411A4D">
        <w:rPr>
          <w:rFonts w:eastAsia="Times New Roman"/>
        </w:rPr>
        <w:t xml:space="preserve"> </w:t>
      </w:r>
      <w:r w:rsidR="00E401D1">
        <w:rPr>
          <w:rFonts w:eastAsia="Times New Roman"/>
        </w:rPr>
        <w:t>apprentices</w:t>
      </w:r>
      <w:r w:rsidR="00411A4D">
        <w:rPr>
          <w:rFonts w:eastAsia="Times New Roman"/>
        </w:rPr>
        <w:t xml:space="preserve"> who need </w:t>
      </w:r>
      <w:r w:rsidR="00A949B4">
        <w:rPr>
          <w:rFonts w:eastAsia="Times New Roman"/>
        </w:rPr>
        <w:t>bite-</w:t>
      </w:r>
      <w:r w:rsidR="00E401D1">
        <w:rPr>
          <w:rFonts w:eastAsia="Times New Roman"/>
        </w:rPr>
        <w:t xml:space="preserve">sized </w:t>
      </w:r>
      <w:r w:rsidR="00411A4D">
        <w:rPr>
          <w:rFonts w:eastAsia="Times New Roman"/>
        </w:rPr>
        <w:t>step by step progress</w:t>
      </w:r>
      <w:r w:rsidR="00E401D1">
        <w:rPr>
          <w:rFonts w:eastAsia="Times New Roman"/>
        </w:rPr>
        <w:t>. Just to be clear</w:t>
      </w:r>
      <w:r w:rsidR="00E36322">
        <w:rPr>
          <w:rFonts w:eastAsia="Times New Roman"/>
        </w:rPr>
        <w:t>,</w:t>
      </w:r>
      <w:r w:rsidR="00E401D1">
        <w:rPr>
          <w:rFonts w:eastAsia="Times New Roman"/>
        </w:rPr>
        <w:t xml:space="preserve"> we are</w:t>
      </w:r>
      <w:r w:rsidR="00411A4D">
        <w:rPr>
          <w:rFonts w:eastAsia="Times New Roman"/>
        </w:rPr>
        <w:t xml:space="preserve"> not saying </w:t>
      </w:r>
      <w:r w:rsidR="00D6329A">
        <w:rPr>
          <w:rFonts w:eastAsia="Times New Roman"/>
        </w:rPr>
        <w:t xml:space="preserve">there </w:t>
      </w:r>
      <w:r w:rsidR="00411A4D">
        <w:rPr>
          <w:rFonts w:eastAsia="Times New Roman"/>
        </w:rPr>
        <w:t xml:space="preserve">shouldn’t be an end </w:t>
      </w:r>
      <w:r w:rsidR="00E401D1">
        <w:rPr>
          <w:rFonts w:eastAsia="Times New Roman"/>
        </w:rPr>
        <w:t xml:space="preserve">point </w:t>
      </w:r>
      <w:r w:rsidR="00411A4D">
        <w:rPr>
          <w:rFonts w:eastAsia="Times New Roman"/>
        </w:rPr>
        <w:t xml:space="preserve">test but </w:t>
      </w:r>
      <w:r w:rsidR="00E401D1">
        <w:rPr>
          <w:rFonts w:eastAsia="Times New Roman"/>
        </w:rPr>
        <w:t>the removal o</w:t>
      </w:r>
      <w:r w:rsidR="00D6329A">
        <w:rPr>
          <w:rFonts w:eastAsia="Times New Roman"/>
        </w:rPr>
        <w:t>f qualifications</w:t>
      </w:r>
      <w:r w:rsidR="008853A2">
        <w:rPr>
          <w:rFonts w:eastAsia="Times New Roman"/>
        </w:rPr>
        <w:t xml:space="preserve"> and an ongoing assessment of competency</w:t>
      </w:r>
      <w:r w:rsidR="00D6329A">
        <w:rPr>
          <w:rFonts w:eastAsia="Times New Roman"/>
        </w:rPr>
        <w:t xml:space="preserve"> is multi-faceted in its impact</w:t>
      </w:r>
      <w:r w:rsidR="00D37252">
        <w:rPr>
          <w:rFonts w:eastAsia="Times New Roman"/>
        </w:rPr>
        <w:t xml:space="preserve"> around social </w:t>
      </w:r>
      <w:r w:rsidR="00F40EF5">
        <w:rPr>
          <w:rFonts w:eastAsia="Times New Roman"/>
        </w:rPr>
        <w:t>equality</w:t>
      </w:r>
      <w:r w:rsidR="00D37252">
        <w:rPr>
          <w:rFonts w:eastAsia="Times New Roman"/>
        </w:rPr>
        <w:t>.</w:t>
      </w:r>
      <w:r w:rsidR="00E401D1">
        <w:rPr>
          <w:rFonts w:eastAsia="Times New Roman"/>
        </w:rPr>
        <w:t xml:space="preserve"> </w:t>
      </w:r>
    </w:p>
    <w:p w14:paraId="2BFC21BD" w14:textId="77777777" w:rsidR="00E2777A" w:rsidRPr="004D1FBF" w:rsidRDefault="00E2777A" w:rsidP="00B75767">
      <w:pPr>
        <w:spacing w:line="276" w:lineRule="auto"/>
        <w:rPr>
          <w:rFonts w:eastAsia="Times New Roman"/>
          <w:sz w:val="12"/>
        </w:rPr>
      </w:pPr>
    </w:p>
    <w:p w14:paraId="02A72023" w14:textId="49213DAA" w:rsidR="00E2777A" w:rsidRPr="00B31E14" w:rsidRDefault="00E2777A" w:rsidP="00E2777A">
      <w:pPr>
        <w:spacing w:line="276" w:lineRule="auto"/>
        <w:contextualSpacing/>
      </w:pPr>
      <w:r>
        <w:lastRenderedPageBreak/>
        <w:t>AELP believes that t</w:t>
      </w:r>
      <w:r w:rsidRPr="00411629">
        <w:t>he omission of qu</w:t>
      </w:r>
      <w:r w:rsidR="00C363CB">
        <w:t>alifications from standards could</w:t>
      </w:r>
      <w:r>
        <w:t xml:space="preserve"> a</w:t>
      </w:r>
      <w:r w:rsidRPr="00411629">
        <w:t xml:space="preserve">dversely affect </w:t>
      </w:r>
      <w:r>
        <w:t>portabil</w:t>
      </w:r>
      <w:r w:rsidR="00A949B4">
        <w:t xml:space="preserve">ity and transferability, while </w:t>
      </w:r>
      <w:r>
        <w:t>making</w:t>
      </w:r>
      <w:r w:rsidRPr="00B31E14">
        <w:t xml:space="preserve"> it difficult to make comparisons between standards of level and breadth</w:t>
      </w:r>
      <w:r w:rsidR="000710C9">
        <w:t xml:space="preserve">. </w:t>
      </w:r>
      <w:r w:rsidRPr="004B7AD5">
        <w:t xml:space="preserve"> </w:t>
      </w:r>
      <w:r w:rsidR="000710C9">
        <w:t>T</w:t>
      </w:r>
      <w:r w:rsidRPr="004B7AD5">
        <w:t xml:space="preserve">herefore </w:t>
      </w:r>
      <w:r w:rsidR="008A6714">
        <w:t>in addition to the EPA, every standard should include some form of assessment which measures on-going achievement of competency</w:t>
      </w:r>
      <w:r w:rsidR="00DF10B4" w:rsidRPr="004B7AD5">
        <w:t>.</w:t>
      </w:r>
      <w:r w:rsidR="000710C9">
        <w:t xml:space="preserve"> </w:t>
      </w:r>
      <w:r w:rsidR="00605E4B" w:rsidRPr="004B7AD5">
        <w:t xml:space="preserve"> The IfA needs to work with</w:t>
      </w:r>
      <w:r w:rsidR="00605E4B">
        <w:t xml:space="preserve"> the trailblazer employer groups to properly </w:t>
      </w:r>
      <w:r w:rsidR="00E36322">
        <w:t>design</w:t>
      </w:r>
      <w:r w:rsidR="00605E4B">
        <w:t xml:space="preserve"> sector based programmes with attainable entry points which allow potential apprentices with different skills and starting points</w:t>
      </w:r>
      <w:r w:rsidR="00E36322">
        <w:t xml:space="preserve"> to pursue a career which allows for </w:t>
      </w:r>
      <w:r w:rsidR="00605E4B">
        <w:t xml:space="preserve">sensible and suitable progression opportunities. </w:t>
      </w:r>
    </w:p>
    <w:p w14:paraId="60889556" w14:textId="77777777" w:rsidR="00605E4B" w:rsidRPr="0048763E" w:rsidRDefault="00605E4B" w:rsidP="00B75767">
      <w:pPr>
        <w:spacing w:line="276" w:lineRule="auto"/>
        <w:rPr>
          <w:b/>
          <w:color w:val="984806" w:themeColor="accent6" w:themeShade="80"/>
          <w:sz w:val="20"/>
        </w:rPr>
      </w:pPr>
    </w:p>
    <w:p w14:paraId="72D5EE0A" w14:textId="77777777" w:rsidR="00411A4D" w:rsidRPr="00AC18B4" w:rsidRDefault="00411A4D" w:rsidP="00411A4D">
      <w:pPr>
        <w:spacing w:line="276" w:lineRule="auto"/>
        <w:rPr>
          <w:b/>
          <w:color w:val="984806" w:themeColor="accent6" w:themeShade="80"/>
        </w:rPr>
      </w:pPr>
      <w:r w:rsidRPr="00AC18B4">
        <w:rPr>
          <w:b/>
          <w:color w:val="984806" w:themeColor="accent6" w:themeShade="80"/>
        </w:rPr>
        <w:t>Maths and English</w:t>
      </w:r>
      <w:r w:rsidR="0093264E">
        <w:rPr>
          <w:b/>
          <w:color w:val="984806" w:themeColor="accent6" w:themeShade="80"/>
        </w:rPr>
        <w:t xml:space="preserve"> doesn’t add up</w:t>
      </w:r>
    </w:p>
    <w:p w14:paraId="1419F8C3" w14:textId="464376BE" w:rsidR="0048763E" w:rsidRDefault="00411A4D" w:rsidP="00411A4D">
      <w:pPr>
        <w:spacing w:line="276" w:lineRule="auto"/>
      </w:pPr>
      <w:r w:rsidRPr="001D5A4D">
        <w:t xml:space="preserve">As </w:t>
      </w:r>
      <w:r w:rsidR="001D5A4D">
        <w:t xml:space="preserve">the requirement for those without exemptions to complete </w:t>
      </w:r>
      <w:r w:rsidR="001D5A4D" w:rsidRPr="001D5A4D">
        <w:t xml:space="preserve">maths and English are not included within the </w:t>
      </w:r>
      <w:r w:rsidR="003C796D">
        <w:t xml:space="preserve">mandatory </w:t>
      </w:r>
      <w:r w:rsidR="001D5A4D" w:rsidRPr="001D5A4D">
        <w:t>20% measurement for off-the-job training</w:t>
      </w:r>
      <w:r w:rsidR="003C796D">
        <w:t>,</w:t>
      </w:r>
      <w:r w:rsidR="001D5A4D" w:rsidRPr="001D5A4D">
        <w:t xml:space="preserve"> </w:t>
      </w:r>
      <w:r w:rsidR="003C796D">
        <w:t xml:space="preserve">this </w:t>
      </w:r>
      <w:r w:rsidR="00E36322">
        <w:t xml:space="preserve">clearly </w:t>
      </w:r>
      <w:r w:rsidR="003C796D">
        <w:t>further disadvantages</w:t>
      </w:r>
      <w:r w:rsidR="001D5A4D">
        <w:t xml:space="preserve"> potential apprentices.  </w:t>
      </w:r>
      <w:r w:rsidR="0048763E">
        <w:t>The ESFA argue that funding for maths and English, which is only actually funded at 50% of the classroom rates is provided on top of the funding for the vocational training and therefore it should be separate. However, from an employer’s perspective</w:t>
      </w:r>
      <w:r w:rsidR="003C796D">
        <w:t>,</w:t>
      </w:r>
      <w:r w:rsidR="0048763E">
        <w:t xml:space="preserve"> we are hearing of a diminished appetite to recruit new apprentices or even upskill existing staff in need of training as this is yet a further commitment</w:t>
      </w:r>
      <w:r w:rsidR="003C796D">
        <w:t xml:space="preserve">.  </w:t>
      </w:r>
      <w:r w:rsidR="00841E60">
        <w:t>Particularly</w:t>
      </w:r>
      <w:r w:rsidR="0048763E">
        <w:t xml:space="preserve"> in the service and support sectors</w:t>
      </w:r>
      <w:r w:rsidR="00841E60">
        <w:t xml:space="preserve">, </w:t>
      </w:r>
      <w:r w:rsidR="0048763E">
        <w:t xml:space="preserve">employers </w:t>
      </w:r>
      <w:r w:rsidR="00841E60">
        <w:t xml:space="preserve">simply cannot </w:t>
      </w:r>
      <w:r w:rsidR="0048763E">
        <w:t>afford the additional cost to backfill for employees</w:t>
      </w:r>
      <w:r w:rsidR="00841E60">
        <w:t xml:space="preserve"> who are off the job training</w:t>
      </w:r>
      <w:r w:rsidR="0048763E">
        <w:t>.</w:t>
      </w:r>
    </w:p>
    <w:p w14:paraId="4368FF85" w14:textId="77777777" w:rsidR="008A212B" w:rsidRPr="0048763E" w:rsidRDefault="008A212B" w:rsidP="00B75767">
      <w:pPr>
        <w:spacing w:line="276" w:lineRule="auto"/>
      </w:pPr>
    </w:p>
    <w:p w14:paraId="2E1F7160" w14:textId="79C86458" w:rsidR="0099356A" w:rsidRDefault="00841E60" w:rsidP="00B75767">
      <w:pPr>
        <w:spacing w:line="276" w:lineRule="auto"/>
      </w:pPr>
      <w:r>
        <w:t>Employers</w:t>
      </w:r>
      <w:r w:rsidR="008A212B">
        <w:t xml:space="preserve"> already have </w:t>
      </w:r>
      <w:r>
        <w:t>issues</w:t>
      </w:r>
      <w:r w:rsidR="0099356A">
        <w:t xml:space="preserve"> and operational </w:t>
      </w:r>
      <w:r w:rsidR="008A212B">
        <w:t>challenges in committing to</w:t>
      </w:r>
      <w:r w:rsidR="00E36322">
        <w:t xml:space="preserve"> the</w:t>
      </w:r>
      <w:r w:rsidR="008A212B">
        <w:t xml:space="preserve"> off-the-job t</w:t>
      </w:r>
      <w:r w:rsidR="00E36322">
        <w:t>raining which in reality relates</w:t>
      </w:r>
      <w:r w:rsidR="008A212B">
        <w:t xml:space="preserve"> to at least a fifth or the equivalent of one working day a week being unproductive whilst the apprentice receives their mandatory training. </w:t>
      </w:r>
      <w:r w:rsidR="00B03F5C">
        <w:t xml:space="preserve"> </w:t>
      </w:r>
      <w:r w:rsidR="0099356A">
        <w:t>Apprentices without exemptions in maths and Engli</w:t>
      </w:r>
      <w:r w:rsidR="00826C73">
        <w:t>sh require further study time on top of this</w:t>
      </w:r>
      <w:r w:rsidR="0099356A">
        <w:t>, meaning employers see those candidates as less attractive than those who are present</w:t>
      </w:r>
      <w:r w:rsidR="00826C73">
        <w:t>ed with prior attainment in the subjects</w:t>
      </w:r>
      <w:r w:rsidR="00700D11">
        <w:t xml:space="preserve">. </w:t>
      </w:r>
      <w:r w:rsidR="00826C73">
        <w:t xml:space="preserve"> </w:t>
      </w:r>
      <w:r w:rsidR="00F51E09">
        <w:t>For</w:t>
      </w:r>
      <w:r w:rsidR="008A212B">
        <w:t xml:space="preserve"> a </w:t>
      </w:r>
      <w:r w:rsidR="00F51E09">
        <w:t>training provider,</w:t>
      </w:r>
      <w:r w:rsidR="008A212B">
        <w:t xml:space="preserve"> </w:t>
      </w:r>
      <w:r w:rsidR="0099356A">
        <w:t xml:space="preserve">the cost of delivering the current functional skills curriculum is in excess of the fixed rates of £471 funding provided by government for each functional skill – our research show this to be the case especially for those needing to transition from </w:t>
      </w:r>
      <w:r w:rsidR="002C539C">
        <w:t>level 1</w:t>
      </w:r>
      <w:r w:rsidR="0099356A">
        <w:t xml:space="preserve"> to </w:t>
      </w:r>
      <w:r w:rsidR="002C539C">
        <w:t>level 2, with actual guided learning hours on average being circa 70 hours to complete as opposed to the 45 guided learning hours.</w:t>
      </w:r>
      <w:r w:rsidR="0099356A">
        <w:t xml:space="preserve"> </w:t>
      </w:r>
    </w:p>
    <w:p w14:paraId="074D4479" w14:textId="77777777" w:rsidR="002C539C" w:rsidRPr="0048763E" w:rsidRDefault="002C539C" w:rsidP="00B75767">
      <w:pPr>
        <w:spacing w:line="276" w:lineRule="auto"/>
        <w:rPr>
          <w:sz w:val="24"/>
        </w:rPr>
      </w:pPr>
    </w:p>
    <w:p w14:paraId="3A488C35" w14:textId="77777777" w:rsidR="00700D11" w:rsidRDefault="00700D11" w:rsidP="00B75767">
      <w:pPr>
        <w:spacing w:line="276" w:lineRule="auto"/>
      </w:pPr>
      <w:r>
        <w:t>Combining the perspectives provided above of both the employer in regards to reduced productivity and the provider in terms of higher costs of delivery, provides a strong case that a candidate who is lacking in maths and English will undoubtedly be further isolated from the opportunities in the marketplace</w:t>
      </w:r>
      <w:r w:rsidR="00DF1398">
        <w:t xml:space="preserve"> as they have become less attractive to all stakeholders.</w:t>
      </w:r>
    </w:p>
    <w:p w14:paraId="0C379437" w14:textId="77777777" w:rsidR="005F386C" w:rsidRDefault="005F386C" w:rsidP="00B75767">
      <w:pPr>
        <w:spacing w:line="276" w:lineRule="auto"/>
      </w:pPr>
    </w:p>
    <w:p w14:paraId="4B3DB5FB" w14:textId="7AA0D139" w:rsidR="005F386C" w:rsidRPr="001D5A4D" w:rsidRDefault="005F386C" w:rsidP="005F386C">
      <w:pPr>
        <w:spacing w:line="276" w:lineRule="auto"/>
      </w:pPr>
      <w:r>
        <w:t xml:space="preserve">AELP believes that maths and English </w:t>
      </w:r>
      <w:r w:rsidR="0048763E">
        <w:t>delivery as part of an apprenticeship</w:t>
      </w:r>
      <w:r>
        <w:t xml:space="preserve"> should be funded at </w:t>
      </w:r>
      <w:r w:rsidR="009A3F93">
        <w:t xml:space="preserve">least </w:t>
      </w:r>
      <w:r>
        <w:t>the appropriate matching value of classroom provision (£724 per each qualification) to ensure there is the income to cover the cost of delivering provision to apprentices who needs maths and English</w:t>
      </w:r>
      <w:r w:rsidR="00E42F27">
        <w:t xml:space="preserve"> in order to avoid cherry picking candidates for apprentices</w:t>
      </w:r>
      <w:r w:rsidR="0048763E">
        <w:t>hips</w:t>
      </w:r>
      <w:r w:rsidR="00E42F27">
        <w:t xml:space="preserve"> who already have the required levels of maths and English</w:t>
      </w:r>
      <w:r>
        <w:t xml:space="preserve">. </w:t>
      </w:r>
      <w:r w:rsidR="00E42F27">
        <w:t xml:space="preserve">Furthermore, </w:t>
      </w:r>
      <w:r w:rsidR="00DF198A">
        <w:t>m</w:t>
      </w:r>
      <w:r>
        <w:t>aths and English should also be incl</w:t>
      </w:r>
      <w:r w:rsidR="001260FF">
        <w:t>uded within the off-the-job</w:t>
      </w:r>
      <w:r>
        <w:t xml:space="preserve"> training time to </w:t>
      </w:r>
      <w:r w:rsidR="00E42F27">
        <w:t xml:space="preserve">ensure that employers are not unfairly disadvantaged in regards lost productivity from apprentices needing additional </w:t>
      </w:r>
      <w:r w:rsidR="00DF198A">
        <w:t>‘</w:t>
      </w:r>
      <w:r w:rsidR="00E42F27">
        <w:t>unproductive</w:t>
      </w:r>
      <w:r w:rsidR="00DF198A">
        <w:t>’</w:t>
      </w:r>
      <w:r w:rsidR="00E42F27">
        <w:t xml:space="preserve"> time to study these subjects.</w:t>
      </w:r>
    </w:p>
    <w:p w14:paraId="197B3A46" w14:textId="77777777" w:rsidR="00B75767" w:rsidRPr="0048763E" w:rsidRDefault="00B75767" w:rsidP="00B75767">
      <w:pPr>
        <w:spacing w:line="276" w:lineRule="auto"/>
        <w:rPr>
          <w:b/>
          <w:color w:val="984806" w:themeColor="accent6" w:themeShade="80"/>
        </w:rPr>
      </w:pPr>
    </w:p>
    <w:p w14:paraId="27774BF9" w14:textId="77777777" w:rsidR="00C93F0F" w:rsidRPr="00C93F0F" w:rsidRDefault="00B75767" w:rsidP="00B75767">
      <w:pPr>
        <w:spacing w:line="276" w:lineRule="auto"/>
        <w:rPr>
          <w:b/>
          <w:color w:val="984806"/>
        </w:rPr>
      </w:pPr>
      <w:r>
        <w:rPr>
          <w:b/>
          <w:color w:val="984806"/>
        </w:rPr>
        <w:t>20% off-the-jo</w:t>
      </w:r>
      <w:r w:rsidR="006F4977">
        <w:rPr>
          <w:b/>
          <w:color w:val="984806"/>
        </w:rPr>
        <w:t>b training requirement</w:t>
      </w:r>
    </w:p>
    <w:p w14:paraId="26AA604E" w14:textId="3973691A" w:rsidR="00B77FBA" w:rsidRPr="00B77FBA" w:rsidRDefault="006F4977" w:rsidP="006F4977">
      <w:pPr>
        <w:spacing w:line="276" w:lineRule="auto"/>
        <w:rPr>
          <w:lang w:eastAsia="en-GB"/>
        </w:rPr>
      </w:pPr>
      <w:r>
        <w:t>The</w:t>
      </w:r>
      <w:r w:rsidRPr="00302B70">
        <w:t xml:space="preserve"> unintended consequences for employers </w:t>
      </w:r>
      <w:r w:rsidR="00DF198A">
        <w:t>of the ESFA funding rule requiring that 20% of apprenticeship training must be off the job</w:t>
      </w:r>
      <w:r w:rsidR="00850EF7">
        <w:t xml:space="preserve"> are very</w:t>
      </w:r>
      <w:r w:rsidRPr="00302B70">
        <w:t xml:space="preserve"> significant</w:t>
      </w:r>
      <w:r w:rsidR="00850EF7">
        <w:t>.   E</w:t>
      </w:r>
      <w:r w:rsidRPr="00302B70">
        <w:t>mployers h</w:t>
      </w:r>
      <w:r>
        <w:t xml:space="preserve">ave told us </w:t>
      </w:r>
      <w:r w:rsidR="00850EF7">
        <w:t xml:space="preserve">that the </w:t>
      </w:r>
      <w:r w:rsidR="000710C9">
        <w:t xml:space="preserve">rule </w:t>
      </w:r>
      <w:r w:rsidR="000710C9" w:rsidRPr="00302B70">
        <w:t>limits</w:t>
      </w:r>
      <w:r w:rsidRPr="00302B70">
        <w:t xml:space="preserve"> their participation, engagement and appetite to fully embrace apprenticeships. </w:t>
      </w:r>
      <w:r w:rsidR="00850EF7">
        <w:t xml:space="preserve"> </w:t>
      </w:r>
      <w:r w:rsidRPr="00302B70">
        <w:t xml:space="preserve">Ramifications </w:t>
      </w:r>
      <w:r w:rsidRPr="00302B70">
        <w:lastRenderedPageBreak/>
        <w:t xml:space="preserve">are wide ranging from limiting social </w:t>
      </w:r>
      <w:r w:rsidR="00F40EF5">
        <w:t>equality</w:t>
      </w:r>
      <w:r w:rsidR="00F40EF5" w:rsidRPr="00302B70">
        <w:t xml:space="preserve"> </w:t>
      </w:r>
      <w:r w:rsidRPr="00302B70">
        <w:t>and h</w:t>
      </w:r>
      <w:r w:rsidR="00850EF7">
        <w:t xml:space="preserve">ampering the achievement of </w:t>
      </w:r>
      <w:r w:rsidRPr="00302B70">
        <w:t>3</w:t>
      </w:r>
      <w:r>
        <w:t xml:space="preserve"> </w:t>
      </w:r>
      <w:r w:rsidRPr="00302B70">
        <w:t>m</w:t>
      </w:r>
      <w:r>
        <w:t>illion</w:t>
      </w:r>
      <w:r w:rsidR="00850EF7">
        <w:t xml:space="preserve"> apprenticeship starts</w:t>
      </w:r>
      <w:r w:rsidRPr="00302B70">
        <w:t>.</w:t>
      </w:r>
      <w:r w:rsidR="0048763E">
        <w:t xml:space="preserve"> This is what two employers told us recently:</w:t>
      </w:r>
    </w:p>
    <w:p w14:paraId="713D69CC" w14:textId="77777777" w:rsidR="00B77FBA" w:rsidRPr="0048763E" w:rsidRDefault="00B77FBA" w:rsidP="006F4977">
      <w:pPr>
        <w:spacing w:line="276" w:lineRule="auto"/>
        <w:rPr>
          <w:b/>
          <w:lang w:eastAsia="en-GB"/>
        </w:rPr>
      </w:pPr>
    </w:p>
    <w:p w14:paraId="5C10B2AA" w14:textId="77777777" w:rsidR="00C93F0F" w:rsidRDefault="00B75767" w:rsidP="00ED3162">
      <w:pPr>
        <w:spacing w:line="276" w:lineRule="auto"/>
        <w:ind w:left="720"/>
        <w:rPr>
          <w:b/>
          <w:lang w:eastAsia="en-GB"/>
        </w:rPr>
      </w:pPr>
      <w:r w:rsidRPr="00411A4D">
        <w:rPr>
          <w:i/>
          <w:lang w:eastAsia="en-GB"/>
        </w:rPr>
        <w:t>“20% is arbitrary and has no correlation to quality</w:t>
      </w:r>
      <w:r w:rsidR="00C93F0F" w:rsidRPr="00411A4D">
        <w:rPr>
          <w:i/>
          <w:lang w:eastAsia="en-GB"/>
        </w:rPr>
        <w:t xml:space="preserve">. </w:t>
      </w:r>
      <w:r w:rsidR="00C93F0F" w:rsidRPr="00411A4D">
        <w:rPr>
          <w:i/>
          <w:lang w:val="en-US"/>
        </w:rPr>
        <w:t>W</w:t>
      </w:r>
      <w:r w:rsidR="00C93F0F" w:rsidRPr="00411A4D">
        <w:rPr>
          <w:i/>
        </w:rPr>
        <w:t>e know that managers are not signing new starters to apprenticeships because of the 20% rule.</w:t>
      </w:r>
      <w:r w:rsidRPr="00411A4D">
        <w:rPr>
          <w:i/>
          <w:lang w:eastAsia="en-GB"/>
        </w:rPr>
        <w:t>”</w:t>
      </w:r>
      <w:r w:rsidRPr="0080713B">
        <w:rPr>
          <w:b/>
          <w:lang w:eastAsia="en-GB"/>
        </w:rPr>
        <w:t xml:space="preserve"> </w:t>
      </w:r>
      <w:r w:rsidRPr="0080713B">
        <w:rPr>
          <w:lang w:eastAsia="en-GB"/>
        </w:rPr>
        <w:t xml:space="preserve"> </w:t>
      </w:r>
      <w:r w:rsidRPr="0080713B">
        <w:rPr>
          <w:bCs/>
        </w:rPr>
        <w:t xml:space="preserve">Harlene Dandy-Hughes, </w:t>
      </w:r>
      <w:r w:rsidRPr="0080713B">
        <w:t>Education, Training &amp; Development Manager, NHS Foundation Trust London</w:t>
      </w:r>
      <w:r w:rsidRPr="0080713B">
        <w:rPr>
          <w:lang w:eastAsia="en-GB"/>
        </w:rPr>
        <w:t>.</w:t>
      </w:r>
      <w:r w:rsidRPr="0080713B">
        <w:rPr>
          <w:b/>
          <w:lang w:eastAsia="en-GB"/>
        </w:rPr>
        <w:t xml:space="preserve">  </w:t>
      </w:r>
    </w:p>
    <w:p w14:paraId="07A311D5" w14:textId="77777777" w:rsidR="00C93F0F" w:rsidRPr="0048763E" w:rsidRDefault="00C93F0F" w:rsidP="00ED3162">
      <w:pPr>
        <w:spacing w:line="276" w:lineRule="auto"/>
        <w:ind w:left="720"/>
        <w:rPr>
          <w:b/>
          <w:lang w:eastAsia="en-GB"/>
        </w:rPr>
      </w:pPr>
    </w:p>
    <w:p w14:paraId="15EFC557" w14:textId="2A6189CF" w:rsidR="00C93F0F" w:rsidRDefault="00C93F0F" w:rsidP="00ED3162">
      <w:pPr>
        <w:spacing w:line="276" w:lineRule="auto"/>
        <w:ind w:left="720"/>
        <w:rPr>
          <w:lang w:val="en"/>
        </w:rPr>
      </w:pPr>
      <w:r w:rsidRPr="00411A4D">
        <w:rPr>
          <w:i/>
          <w:lang w:eastAsia="en-GB"/>
        </w:rPr>
        <w:t>“20% will reduce our recruitment of level 2 apprentices</w:t>
      </w:r>
      <w:r w:rsidR="00ED3162">
        <w:rPr>
          <w:i/>
          <w:lang w:eastAsia="en-GB"/>
        </w:rPr>
        <w:t>.</w:t>
      </w:r>
      <w:r w:rsidRPr="00411A4D">
        <w:rPr>
          <w:i/>
          <w:lang w:eastAsia="en-GB"/>
        </w:rPr>
        <w:t>”</w:t>
      </w:r>
      <w:r w:rsidRPr="0080713B">
        <w:rPr>
          <w:lang w:eastAsia="en-GB"/>
        </w:rPr>
        <w:t xml:space="preserve"> </w:t>
      </w:r>
      <w:r w:rsidR="00ED3162">
        <w:rPr>
          <w:lang w:eastAsia="en-GB"/>
        </w:rPr>
        <w:t xml:space="preserve"> </w:t>
      </w:r>
      <w:r w:rsidRPr="0080713B">
        <w:rPr>
          <w:lang w:eastAsia="en-GB"/>
        </w:rPr>
        <w:t>Adrian Rowley</w:t>
      </w:r>
      <w:r w:rsidR="00ED3162">
        <w:rPr>
          <w:lang w:eastAsia="en-GB"/>
        </w:rPr>
        <w:t>,</w:t>
      </w:r>
      <w:r w:rsidRPr="0080713B">
        <w:rPr>
          <w:lang w:eastAsia="en-GB"/>
        </w:rPr>
        <w:t xml:space="preserve"> </w:t>
      </w:r>
      <w:r w:rsidRPr="0080713B">
        <w:t>Learning and Development Manager, Grafton Merchanting</w:t>
      </w:r>
      <w:r w:rsidR="00ED3162">
        <w:t xml:space="preserve"> GB</w:t>
      </w:r>
      <w:r w:rsidRPr="0080713B">
        <w:rPr>
          <w:b/>
          <w:lang w:eastAsia="en-GB"/>
        </w:rPr>
        <w:t xml:space="preserve">. </w:t>
      </w:r>
      <w:r w:rsidR="00ED3162">
        <w:rPr>
          <w:b/>
          <w:lang w:eastAsia="en-GB"/>
        </w:rPr>
        <w:t xml:space="preserve"> </w:t>
      </w:r>
      <w:r w:rsidRPr="0080713B">
        <w:t>Grafton Merchanting</w:t>
      </w:r>
      <w:r w:rsidR="00ED3162">
        <w:t>,</w:t>
      </w:r>
      <w:r w:rsidRPr="0080713B">
        <w:t xml:space="preserve"> a large levy payer and one of the leading suppliers of building, plumbing and </w:t>
      </w:r>
      <w:r w:rsidR="00ED3162">
        <w:t>construction materials, said</w:t>
      </w:r>
      <w:r w:rsidRPr="0080713B">
        <w:t xml:space="preserve"> that the </w:t>
      </w:r>
      <w:r w:rsidRPr="0080713B">
        <w:rPr>
          <w:lang w:val="en"/>
        </w:rPr>
        <w:t>costs of 20% off-the-job when salaries are taken into account and t</w:t>
      </w:r>
      <w:r w:rsidR="00ED3162">
        <w:rPr>
          <w:lang w:val="en"/>
        </w:rPr>
        <w:t>he funding band limit mean that</w:t>
      </w:r>
      <w:r w:rsidRPr="0080713B">
        <w:rPr>
          <w:lang w:val="en"/>
        </w:rPr>
        <w:t xml:space="preserve"> Grafton will reduce recruitment of level 2 customer service apprentices. </w:t>
      </w:r>
    </w:p>
    <w:p w14:paraId="2A724D7C" w14:textId="77777777" w:rsidR="00E42F27" w:rsidRPr="009B6D2A" w:rsidRDefault="00E42F27" w:rsidP="00C93F0F">
      <w:pPr>
        <w:spacing w:line="276" w:lineRule="auto"/>
        <w:rPr>
          <w:sz w:val="16"/>
          <w:lang w:val="en"/>
        </w:rPr>
      </w:pPr>
    </w:p>
    <w:p w14:paraId="58D2FA2B" w14:textId="77777777" w:rsidR="00885B3B" w:rsidRDefault="00E42F27" w:rsidP="00DA6586">
      <w:pPr>
        <w:spacing w:line="276" w:lineRule="auto"/>
      </w:pPr>
      <w:r w:rsidRPr="006C62F1">
        <w:t xml:space="preserve">AELP believes </w:t>
      </w:r>
      <w:r w:rsidR="00274FF8">
        <w:t>that the 20% measure is arbitrary and does not automatically become a</w:t>
      </w:r>
      <w:r w:rsidR="0048763E">
        <w:t xml:space="preserve"> proxy for quality. </w:t>
      </w:r>
      <w:r w:rsidR="00885B3B">
        <w:t xml:space="preserve"> </w:t>
      </w:r>
      <w:r w:rsidR="0048763E">
        <w:t>Quite simply</w:t>
      </w:r>
      <w:r w:rsidR="00274FF8">
        <w:t xml:space="preserve"> it’s the quality of the teaching and learning that counts not the </w:t>
      </w:r>
      <w:r w:rsidR="008D2015">
        <w:t>quantity</w:t>
      </w:r>
      <w:r w:rsidR="00274FF8">
        <w:t xml:space="preserve"> </w:t>
      </w:r>
      <w:r w:rsidR="008D2015">
        <w:t xml:space="preserve">of which </w:t>
      </w:r>
      <w:r w:rsidR="00274FF8">
        <w:t>apprentices receive.</w:t>
      </w:r>
      <w:r w:rsidR="00AF076F">
        <w:t xml:space="preserve"> </w:t>
      </w:r>
    </w:p>
    <w:p w14:paraId="57FBE130" w14:textId="77777777" w:rsidR="00885B3B" w:rsidRDefault="00885B3B" w:rsidP="00DA6586">
      <w:pPr>
        <w:spacing w:line="276" w:lineRule="auto"/>
      </w:pPr>
    </w:p>
    <w:p w14:paraId="7E134E55" w14:textId="03EF142E" w:rsidR="00DA6586" w:rsidRDefault="00AF076F" w:rsidP="00DA6586">
      <w:pPr>
        <w:spacing w:line="276" w:lineRule="auto"/>
      </w:pPr>
      <w:r>
        <w:t xml:space="preserve">Employers have told us </w:t>
      </w:r>
      <w:r w:rsidR="00885B3B">
        <w:t xml:space="preserve">that </w:t>
      </w:r>
      <w:r>
        <w:t>this is impacting the recruitment of young people, with added costs of not just the co-investment, but also the cost fo</w:t>
      </w:r>
      <w:r w:rsidR="00885B3B">
        <w:t>r backfilling apprentices while</w:t>
      </w:r>
      <w:r>
        <w:t xml:space="preserve"> they are undertaking training.</w:t>
      </w:r>
      <w:r w:rsidR="00885B3B">
        <w:t xml:space="preserve"> </w:t>
      </w:r>
      <w:r w:rsidR="00646BD4">
        <w:t xml:space="preserve"> L</w:t>
      </w:r>
      <w:r>
        <w:t xml:space="preserve">ow margin sectors, many of which were highlighted as being of key significance following Brexit and the </w:t>
      </w:r>
      <w:r w:rsidR="0048763E">
        <w:t>recent Taylor R</w:t>
      </w:r>
      <w:r>
        <w:t>eview</w:t>
      </w:r>
      <w:r w:rsidR="00885B3B">
        <w:t>, are crucial to the long-</w:t>
      </w:r>
      <w:r>
        <w:t xml:space="preserve">term growth of our economy.  </w:t>
      </w:r>
      <w:r w:rsidR="00DA6586" w:rsidRPr="00DA6586">
        <w:t xml:space="preserve">The employer-led trailblazer groups should have the flexibility to decide what the percentage of off-the-job should be for required for each of their </w:t>
      </w:r>
      <w:proofErr w:type="gramStart"/>
      <w:r w:rsidR="00DA6586" w:rsidRPr="00DA6586">
        <w:t>sta</w:t>
      </w:r>
      <w:r w:rsidR="00C27991">
        <w:t>ndards,</w:t>
      </w:r>
      <w:proofErr w:type="gramEnd"/>
      <w:r w:rsidR="00C27991">
        <w:t xml:space="preserve"> </w:t>
      </w:r>
      <w:r w:rsidR="00DA6586" w:rsidRPr="00DA6586">
        <w:t>should have the authority to recommend to the IfA and ESFA the percentage which should be delivered as part of</w:t>
      </w:r>
      <w:r w:rsidR="00C27991">
        <w:t xml:space="preserve"> an apprentice’s working hours and how it should be measured.</w:t>
      </w:r>
    </w:p>
    <w:p w14:paraId="7E2CAB2D" w14:textId="67B8F142" w:rsidR="005143F2" w:rsidRDefault="005143F2" w:rsidP="00DA6586">
      <w:pPr>
        <w:spacing w:line="276" w:lineRule="auto"/>
      </w:pPr>
    </w:p>
    <w:p w14:paraId="6C89495B" w14:textId="77777777" w:rsidR="005143F2" w:rsidRPr="005143F2" w:rsidRDefault="005143F2" w:rsidP="005143F2">
      <w:pPr>
        <w:spacing w:line="276" w:lineRule="auto"/>
        <w:ind w:right="828"/>
        <w:rPr>
          <w:b/>
          <w:bCs/>
          <w:color w:val="C05B08"/>
          <w:sz w:val="24"/>
          <w:szCs w:val="24"/>
          <w:lang w:eastAsia="en-GB"/>
        </w:rPr>
      </w:pPr>
      <w:r w:rsidRPr="005143F2">
        <w:rPr>
          <w:b/>
          <w:bCs/>
          <w:color w:val="984806"/>
        </w:rPr>
        <w:t>Removing the shackles on the Traineeship programme</w:t>
      </w:r>
    </w:p>
    <w:p w14:paraId="69D01168" w14:textId="2A81912B" w:rsidR="005143F2" w:rsidRPr="005143F2" w:rsidRDefault="001D21A8" w:rsidP="005143F2">
      <w:pPr>
        <w:spacing w:line="276" w:lineRule="auto"/>
        <w:ind w:right="828"/>
        <w:rPr>
          <w:szCs w:val="20"/>
        </w:rPr>
      </w:pPr>
      <w:r>
        <w:rPr>
          <w:szCs w:val="20"/>
        </w:rPr>
        <w:t>Now is the time to remove the shackles which are inhibiting the much needed growth and development of Traineeships which are an important vehicle for young people to start t</w:t>
      </w:r>
      <w:r w:rsidR="00646BD4">
        <w:rPr>
          <w:szCs w:val="20"/>
        </w:rPr>
        <w:t xml:space="preserve">heir journey into work and </w:t>
      </w:r>
      <w:r>
        <w:rPr>
          <w:szCs w:val="20"/>
        </w:rPr>
        <w:t>skills</w:t>
      </w:r>
      <w:r w:rsidR="00646BD4">
        <w:rPr>
          <w:szCs w:val="20"/>
        </w:rPr>
        <w:t xml:space="preserve"> training.  </w:t>
      </w:r>
      <w:r w:rsidR="005143F2" w:rsidRPr="005143F2">
        <w:rPr>
          <w:szCs w:val="20"/>
        </w:rPr>
        <w:t>Traineeships place many young people often from the so-called NEET group in apprenticeships, sustainable employment or further edu</w:t>
      </w:r>
      <w:r w:rsidR="00646BD4">
        <w:rPr>
          <w:szCs w:val="20"/>
        </w:rPr>
        <w:t>cation.  But start numbers fell</w:t>
      </w:r>
      <w:r w:rsidR="005143F2" w:rsidRPr="005143F2">
        <w:rPr>
          <w:szCs w:val="20"/>
        </w:rPr>
        <w:t xml:space="preserve"> in the first two quarters of 2016-17 and uncertainty surrounding the future funding of the programme means that high quality training providers are holding back from investing in it.  </w:t>
      </w:r>
    </w:p>
    <w:p w14:paraId="6E38AB9A" w14:textId="77777777" w:rsidR="005143F2" w:rsidRPr="005143F2" w:rsidRDefault="005143F2" w:rsidP="005143F2">
      <w:pPr>
        <w:spacing w:line="276" w:lineRule="auto"/>
        <w:ind w:right="828"/>
        <w:rPr>
          <w:szCs w:val="20"/>
        </w:rPr>
      </w:pPr>
    </w:p>
    <w:p w14:paraId="0F1C3792" w14:textId="4EAFE315" w:rsidR="005143F2" w:rsidRPr="005143F2" w:rsidRDefault="00694D57" w:rsidP="005143F2">
      <w:pPr>
        <w:spacing w:line="276" w:lineRule="auto"/>
        <w:ind w:right="828"/>
        <w:rPr>
          <w:szCs w:val="20"/>
        </w:rPr>
      </w:pPr>
      <w:r>
        <w:rPr>
          <w:szCs w:val="20"/>
        </w:rPr>
        <w:t>AELP wants the</w:t>
      </w:r>
      <w:r w:rsidR="005143F2" w:rsidRPr="005143F2">
        <w:rPr>
          <w:szCs w:val="20"/>
        </w:rPr>
        <w:t xml:space="preserve"> government to agree to </w:t>
      </w:r>
      <w:r w:rsidR="001D21A8">
        <w:rPr>
          <w:szCs w:val="20"/>
        </w:rPr>
        <w:t>three</w:t>
      </w:r>
      <w:r w:rsidR="001D21A8" w:rsidRPr="005143F2">
        <w:rPr>
          <w:szCs w:val="20"/>
        </w:rPr>
        <w:t xml:space="preserve"> </w:t>
      </w:r>
      <w:r w:rsidR="005143F2" w:rsidRPr="005143F2">
        <w:rPr>
          <w:szCs w:val="20"/>
        </w:rPr>
        <w:t xml:space="preserve">essential proposals that will enable Traineeships to take off, namely: </w:t>
      </w:r>
    </w:p>
    <w:p w14:paraId="488CA2FF" w14:textId="77777777" w:rsidR="005143F2" w:rsidRPr="005143F2" w:rsidRDefault="005143F2" w:rsidP="005143F2">
      <w:pPr>
        <w:spacing w:line="276" w:lineRule="auto"/>
        <w:ind w:right="828"/>
        <w:rPr>
          <w:sz w:val="10"/>
          <w:szCs w:val="8"/>
        </w:rPr>
      </w:pPr>
    </w:p>
    <w:p w14:paraId="5655EB00" w14:textId="77777777" w:rsidR="005143F2" w:rsidRPr="005143F2" w:rsidRDefault="005143F2" w:rsidP="00752FB1">
      <w:pPr>
        <w:pStyle w:val="ListParagraph"/>
        <w:numPr>
          <w:ilvl w:val="0"/>
          <w:numId w:val="25"/>
        </w:numPr>
        <w:ind w:right="828"/>
        <w:rPr>
          <w:rFonts w:ascii="Arial" w:hAnsi="Arial" w:cs="Arial"/>
          <w:szCs w:val="20"/>
        </w:rPr>
      </w:pPr>
      <w:r w:rsidRPr="005143F2">
        <w:rPr>
          <w:rFonts w:ascii="Arial" w:hAnsi="Arial" w:cs="Arial"/>
          <w:szCs w:val="20"/>
        </w:rPr>
        <w:t xml:space="preserve">The government’s funding system needs to be more responsive providing immediate funding as demand is identified </w:t>
      </w:r>
    </w:p>
    <w:p w14:paraId="64589DE5" w14:textId="2CBE9775" w:rsidR="005143F2" w:rsidRPr="005143F2" w:rsidRDefault="005143F2" w:rsidP="00752FB1">
      <w:pPr>
        <w:pStyle w:val="ListParagraph"/>
        <w:numPr>
          <w:ilvl w:val="0"/>
          <w:numId w:val="25"/>
        </w:numPr>
        <w:ind w:right="828"/>
        <w:rPr>
          <w:rFonts w:ascii="Arial" w:hAnsi="Arial" w:cs="Arial"/>
          <w:szCs w:val="20"/>
        </w:rPr>
      </w:pPr>
      <w:r w:rsidRPr="005143F2">
        <w:rPr>
          <w:rFonts w:ascii="Arial" w:hAnsi="Arial" w:cs="Arial"/>
          <w:szCs w:val="20"/>
        </w:rPr>
        <w:t>Making further progress on the benefits system</w:t>
      </w:r>
      <w:r w:rsidR="000F75BA">
        <w:rPr>
          <w:rFonts w:ascii="Arial" w:hAnsi="Arial" w:cs="Arial"/>
          <w:szCs w:val="20"/>
        </w:rPr>
        <w:t>, such as child benefit,</w:t>
      </w:r>
      <w:r w:rsidRPr="005143F2">
        <w:rPr>
          <w:rFonts w:ascii="Arial" w:hAnsi="Arial" w:cs="Arial"/>
          <w:szCs w:val="20"/>
        </w:rPr>
        <w:t xml:space="preserve"> not acting as a barrier to young people taking up a traineeship or apprenticeship  </w:t>
      </w:r>
    </w:p>
    <w:p w14:paraId="67785F77" w14:textId="0281AFAE" w:rsidR="005143F2" w:rsidRPr="00DA6586" w:rsidRDefault="005143F2" w:rsidP="00752FB1">
      <w:pPr>
        <w:pStyle w:val="ListParagraph"/>
        <w:numPr>
          <w:ilvl w:val="0"/>
          <w:numId w:val="25"/>
        </w:numPr>
        <w:ind w:right="828"/>
      </w:pPr>
      <w:r w:rsidRPr="005143F2">
        <w:rPr>
          <w:rFonts w:ascii="Arial" w:hAnsi="Arial" w:cs="Arial"/>
          <w:szCs w:val="20"/>
        </w:rPr>
        <w:t>Retention and use of progress to an apprenticeship, sustainable employment or further education as the official measure of a successful Traineeship to achieve the primary policy goal.</w:t>
      </w:r>
    </w:p>
    <w:p w14:paraId="45B10D3D" w14:textId="77777777" w:rsidR="00DA6586" w:rsidRPr="009B6D2A" w:rsidRDefault="00DA6586" w:rsidP="00E42F27">
      <w:pPr>
        <w:spacing w:line="276" w:lineRule="auto"/>
        <w:rPr>
          <w:b/>
          <w:sz w:val="12"/>
          <w:lang w:eastAsia="en-GB"/>
        </w:rPr>
      </w:pPr>
    </w:p>
    <w:p w14:paraId="26C53374" w14:textId="77777777" w:rsidR="000F75BA" w:rsidRDefault="000F75BA" w:rsidP="00C1787C">
      <w:pPr>
        <w:spacing w:line="276" w:lineRule="auto"/>
        <w:rPr>
          <w:b/>
          <w:color w:val="984806"/>
        </w:rPr>
      </w:pPr>
    </w:p>
    <w:p w14:paraId="7653BBB5" w14:textId="77777777" w:rsidR="000F75BA" w:rsidRDefault="000F75BA" w:rsidP="00C1787C">
      <w:pPr>
        <w:spacing w:line="276" w:lineRule="auto"/>
        <w:rPr>
          <w:b/>
          <w:color w:val="984806"/>
        </w:rPr>
      </w:pPr>
    </w:p>
    <w:p w14:paraId="3455A877" w14:textId="77777777" w:rsidR="00C1787C" w:rsidRPr="00C93F0F" w:rsidRDefault="00C1787C" w:rsidP="00C1787C">
      <w:pPr>
        <w:spacing w:line="276" w:lineRule="auto"/>
        <w:rPr>
          <w:b/>
          <w:color w:val="984806"/>
        </w:rPr>
      </w:pPr>
      <w:r>
        <w:rPr>
          <w:b/>
          <w:color w:val="984806"/>
        </w:rPr>
        <w:lastRenderedPageBreak/>
        <w:t>Learners with learning difficulties and disabilities (LLDD) and special education needs and disability (SEND)</w:t>
      </w:r>
    </w:p>
    <w:p w14:paraId="552CA5C3" w14:textId="33F8291C" w:rsidR="00C1787C" w:rsidRPr="006C62F1" w:rsidRDefault="00694D57" w:rsidP="00C1787C">
      <w:pPr>
        <w:spacing w:line="276" w:lineRule="auto"/>
      </w:pPr>
      <w:r>
        <w:t>While</w:t>
      </w:r>
      <w:r w:rsidR="00C1787C" w:rsidRPr="006C62F1">
        <w:t xml:space="preserve"> there has been</w:t>
      </w:r>
      <w:r w:rsidR="008853A2">
        <w:t xml:space="preserve"> a welcome</w:t>
      </w:r>
      <w:r w:rsidR="00C1787C" w:rsidRPr="006C62F1">
        <w:t xml:space="preserve"> increased recognition around the importance of inclusion within the sector together with the recommendations of the Maynard Panel into increasing access to apprenticeships for those with LLDD/SEND</w:t>
      </w:r>
      <w:r>
        <w:t>, this needs to be turned into concrete action.</w:t>
      </w:r>
      <w:r w:rsidR="00C1787C" w:rsidRPr="006C62F1">
        <w:t xml:space="preserve"> </w:t>
      </w:r>
      <w:r>
        <w:t xml:space="preserve"> </w:t>
      </w:r>
      <w:r w:rsidR="00C1787C" w:rsidRPr="006C62F1">
        <w:t xml:space="preserve">Currently, </w:t>
      </w:r>
      <w:r w:rsidR="00C76D58">
        <w:t xml:space="preserve">the </w:t>
      </w:r>
      <w:r w:rsidR="00C1787C" w:rsidRPr="006C62F1">
        <w:t>employment rate for peo</w:t>
      </w:r>
      <w:r>
        <w:t xml:space="preserve">ple with LLDD/SEND is just 6.8%. </w:t>
      </w:r>
      <w:r w:rsidR="00C1787C" w:rsidRPr="006C62F1">
        <w:t xml:space="preserve"> </w:t>
      </w:r>
      <w:r>
        <w:t>T</w:t>
      </w:r>
      <w:r w:rsidR="00C1787C" w:rsidRPr="006C62F1">
        <w:t>herefore if the government is committed to halving the disability employment gap, then building a truly high-skilled economy in the UK must incorporate a robust strategy on the inclusion of those with LLDD/SEND in both learning and employment opportunities.</w:t>
      </w:r>
    </w:p>
    <w:p w14:paraId="2CDFFD16" w14:textId="77777777" w:rsidR="00C1787C" w:rsidRPr="009B6D2A" w:rsidRDefault="00C1787C" w:rsidP="00C1787C">
      <w:pPr>
        <w:spacing w:line="276" w:lineRule="auto"/>
        <w:rPr>
          <w:sz w:val="14"/>
        </w:rPr>
      </w:pPr>
    </w:p>
    <w:p w14:paraId="27FD0744" w14:textId="16F04A1C" w:rsidR="00C1787C" w:rsidRPr="00DA6586" w:rsidRDefault="00C1787C" w:rsidP="00DA6586">
      <w:pPr>
        <w:spacing w:line="276" w:lineRule="auto"/>
        <w:rPr>
          <w:color w:val="984806"/>
        </w:rPr>
      </w:pPr>
      <w:r w:rsidRPr="00DA6586">
        <w:t>AELP believes the longstanding underspend of funding related to support LLDD/SEND is a combination of a perc</w:t>
      </w:r>
      <w:r w:rsidR="00C76D58">
        <w:t xml:space="preserve">eived complexity in the system </w:t>
      </w:r>
      <w:r w:rsidRPr="00DA6586">
        <w:t xml:space="preserve">and a lack of awareness of the relative ease with which most challenges can be addressed. </w:t>
      </w:r>
      <w:r w:rsidR="00C76D58">
        <w:t xml:space="preserve"> </w:t>
      </w:r>
      <w:r w:rsidRPr="00DA6586">
        <w:t>Consequently, we welcome the Maynard review recommendation for the DWP and B</w:t>
      </w:r>
      <w:r w:rsidR="00C76D58">
        <w:t>E</w:t>
      </w:r>
      <w:r w:rsidRPr="00DA6586">
        <w:t>IS to undertake further work to ensure that the system of reasonable adjustments and the availability of support, for example through Access to Work, are understood and consistently applied by providers.</w:t>
      </w:r>
      <w:r w:rsidRPr="00DA6586">
        <w:rPr>
          <w:color w:val="984806"/>
        </w:rPr>
        <w:t xml:space="preserve"> </w:t>
      </w:r>
      <w:r w:rsidR="00C76D58">
        <w:rPr>
          <w:color w:val="984806"/>
        </w:rPr>
        <w:t xml:space="preserve"> </w:t>
      </w:r>
      <w:r w:rsidRPr="00DA6586">
        <w:t xml:space="preserve">Going forward, every effort should be made to optimise opportunities for those with LLDD/SEND to build their skills base and apply such skills in the workforce. </w:t>
      </w:r>
    </w:p>
    <w:p w14:paraId="310C801D" w14:textId="235089BD" w:rsidR="00DA6586" w:rsidRPr="00C76D58" w:rsidRDefault="00DA6586" w:rsidP="00B75767">
      <w:pPr>
        <w:spacing w:line="276" w:lineRule="auto"/>
        <w:rPr>
          <w:b/>
          <w:color w:val="984806" w:themeColor="accent6" w:themeShade="80"/>
        </w:rPr>
      </w:pPr>
    </w:p>
    <w:p w14:paraId="63C0E31C" w14:textId="070B7402" w:rsidR="001D21A8" w:rsidRDefault="001D21A8" w:rsidP="00B75767">
      <w:pPr>
        <w:spacing w:line="276" w:lineRule="auto"/>
        <w:rPr>
          <w:b/>
          <w:color w:val="984806" w:themeColor="accent6" w:themeShade="80"/>
          <w:sz w:val="8"/>
        </w:rPr>
      </w:pPr>
    </w:p>
    <w:p w14:paraId="5D6E1DE8" w14:textId="77777777" w:rsidR="001D21A8" w:rsidRPr="009B6D2A" w:rsidRDefault="001D21A8" w:rsidP="00B75767">
      <w:pPr>
        <w:spacing w:line="276" w:lineRule="auto"/>
        <w:rPr>
          <w:b/>
          <w:color w:val="984806" w:themeColor="accent6" w:themeShade="80"/>
          <w:sz w:val="8"/>
        </w:rPr>
      </w:pPr>
    </w:p>
    <w:p w14:paraId="479BAC28" w14:textId="69623EC0" w:rsidR="00B75767" w:rsidRPr="00D55A37" w:rsidRDefault="002812D8" w:rsidP="00B75767">
      <w:pPr>
        <w:pStyle w:val="Default"/>
        <w:spacing w:line="276" w:lineRule="auto"/>
        <w:rPr>
          <w:b/>
          <w:bCs/>
          <w:color w:val="984806"/>
          <w:sz w:val="22"/>
          <w:szCs w:val="22"/>
        </w:rPr>
      </w:pPr>
      <w:r>
        <w:rPr>
          <w:b/>
          <w:bCs/>
          <w:color w:val="984806"/>
          <w:sz w:val="22"/>
          <w:szCs w:val="22"/>
        </w:rPr>
        <w:t xml:space="preserve">About Association of Employment and Learning Providers </w:t>
      </w:r>
    </w:p>
    <w:p w14:paraId="790E37B8" w14:textId="77777777" w:rsidR="002812D8" w:rsidRDefault="00B75767" w:rsidP="009B6D2A">
      <w:pPr>
        <w:spacing w:after="60" w:line="276" w:lineRule="auto"/>
      </w:pPr>
      <w:r w:rsidRPr="00857A79">
        <w:t xml:space="preserve">Members of the Association of Employment and Learning Providers (AELP) support employers in the delivery of over 75% of apprenticeships in England and they deliver other publicly funded skills and employment programmes. The majority of AELP’s 800 members are independent private, not-for-profit and voluntary sector training and employment services organisations </w:t>
      </w:r>
      <w:r w:rsidRPr="00857A79">
        <w:rPr>
          <w:bCs/>
        </w:rPr>
        <w:t>with employers, universities, FE colleges, schools and end point assessment organisations joining AELP in increasing numbers.</w:t>
      </w:r>
      <w:r w:rsidRPr="00857A79">
        <w:t xml:space="preserve"> </w:t>
      </w:r>
    </w:p>
    <w:p w14:paraId="10E9A4FA" w14:textId="77777777" w:rsidR="002812D8" w:rsidRDefault="002812D8" w:rsidP="009B6D2A">
      <w:pPr>
        <w:spacing w:after="60" w:line="276" w:lineRule="auto"/>
      </w:pPr>
    </w:p>
    <w:p w14:paraId="23C680B2" w14:textId="77777777" w:rsidR="002812D8" w:rsidRDefault="002812D8" w:rsidP="009B6D2A">
      <w:pPr>
        <w:spacing w:after="60" w:line="276" w:lineRule="auto"/>
      </w:pPr>
      <w:r>
        <w:t>For policy inquiries, contact Mark Dawe, AELP CEO (</w:t>
      </w:r>
      <w:hyperlink r:id="rId10" w:history="1">
        <w:r w:rsidRPr="00C073DB">
          <w:rPr>
            <w:rStyle w:val="Hyperlink"/>
          </w:rPr>
          <w:t>markdawe@aelp.org.uk</w:t>
        </w:r>
      </w:hyperlink>
      <w:r>
        <w:t xml:space="preserve">) </w:t>
      </w:r>
    </w:p>
    <w:p w14:paraId="770593B3" w14:textId="77777777" w:rsidR="002812D8" w:rsidRDefault="002812D8" w:rsidP="009B6D2A">
      <w:pPr>
        <w:spacing w:after="60" w:line="276" w:lineRule="auto"/>
      </w:pPr>
    </w:p>
    <w:p w14:paraId="36902553" w14:textId="6E9F83DF" w:rsidR="00B75767" w:rsidRDefault="002812D8" w:rsidP="009B6D2A">
      <w:pPr>
        <w:spacing w:after="60" w:line="276" w:lineRule="auto"/>
      </w:pPr>
      <w:r>
        <w:t xml:space="preserve">For media inquiries, contact Aidan Relf on 07710 305182 or </w:t>
      </w:r>
      <w:r w:rsidR="009B3043">
        <w:t xml:space="preserve">at: </w:t>
      </w:r>
      <w:hyperlink r:id="rId11" w:history="1">
        <w:r w:rsidR="009B3043" w:rsidRPr="00C073DB">
          <w:rPr>
            <w:rStyle w:val="Hyperlink"/>
          </w:rPr>
          <w:t>arelf@aelp.org.uk</w:t>
        </w:r>
      </w:hyperlink>
      <w:r w:rsidR="009B3043">
        <w:t xml:space="preserve"> </w:t>
      </w:r>
      <w:r w:rsidR="00B75767" w:rsidRPr="00857A79">
        <w:t xml:space="preserve"> </w:t>
      </w:r>
    </w:p>
    <w:p w14:paraId="6D4A5B09" w14:textId="77777777" w:rsidR="009B6D2A" w:rsidRPr="009B6D2A" w:rsidRDefault="009B6D2A" w:rsidP="009B6D2A">
      <w:pPr>
        <w:spacing w:after="60" w:line="276" w:lineRule="auto"/>
        <w:rPr>
          <w:sz w:val="2"/>
        </w:rPr>
      </w:pPr>
    </w:p>
    <w:p w14:paraId="52F4B6A5" w14:textId="77777777" w:rsidR="00B75767" w:rsidRPr="00DB2CB6" w:rsidRDefault="00B75767" w:rsidP="00B75767">
      <w:pPr>
        <w:pStyle w:val="BodyText"/>
        <w:kinsoku w:val="0"/>
        <w:overflowPunct w:val="0"/>
        <w:spacing w:before="41" w:line="276" w:lineRule="auto"/>
        <w:ind w:left="0" w:right="151"/>
        <w:rPr>
          <w:sz w:val="10"/>
        </w:rPr>
      </w:pPr>
    </w:p>
    <w:p w14:paraId="110FBB73" w14:textId="77777777" w:rsidR="00B75767" w:rsidRPr="005471B5" w:rsidRDefault="00B75767" w:rsidP="00B75767">
      <w:pPr>
        <w:pStyle w:val="Default"/>
        <w:spacing w:line="276" w:lineRule="auto"/>
        <w:rPr>
          <w:color w:val="auto"/>
          <w:sz w:val="22"/>
          <w:szCs w:val="22"/>
        </w:rPr>
      </w:pPr>
      <w:r w:rsidRPr="005471B5">
        <w:rPr>
          <w:color w:val="auto"/>
          <w:sz w:val="22"/>
          <w:szCs w:val="22"/>
        </w:rPr>
        <w:t>Association of Employment and Learning Providers (AELP)</w:t>
      </w:r>
    </w:p>
    <w:p w14:paraId="2396E6A6" w14:textId="77777777" w:rsidR="00B75767" w:rsidRPr="005471B5" w:rsidRDefault="00B75767" w:rsidP="00B75767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A:</w:t>
      </w:r>
      <w:r>
        <w:rPr>
          <w:color w:val="auto"/>
          <w:sz w:val="22"/>
          <w:szCs w:val="22"/>
        </w:rPr>
        <w:tab/>
      </w:r>
      <w:r w:rsidRPr="005471B5">
        <w:rPr>
          <w:color w:val="auto"/>
          <w:sz w:val="22"/>
          <w:szCs w:val="22"/>
        </w:rPr>
        <w:t>9 Apex Court, Bradley Stoke, Bristol, BS32 4JT</w:t>
      </w:r>
    </w:p>
    <w:p w14:paraId="6F1B26CC" w14:textId="77777777" w:rsidR="00B75767" w:rsidRDefault="00B75767" w:rsidP="00B75767">
      <w:pPr>
        <w:pStyle w:val="Default"/>
        <w:spacing w:line="276" w:lineRule="auto"/>
        <w:rPr>
          <w:color w:val="auto"/>
          <w:sz w:val="22"/>
          <w:szCs w:val="22"/>
        </w:rPr>
      </w:pPr>
      <w:r w:rsidRPr="005471B5">
        <w:rPr>
          <w:color w:val="auto"/>
          <w:sz w:val="22"/>
          <w:szCs w:val="22"/>
        </w:rPr>
        <w:t xml:space="preserve">T: </w:t>
      </w:r>
      <w:r>
        <w:rPr>
          <w:color w:val="auto"/>
          <w:sz w:val="22"/>
          <w:szCs w:val="22"/>
        </w:rPr>
        <w:tab/>
      </w:r>
      <w:r w:rsidRPr="005471B5">
        <w:rPr>
          <w:color w:val="auto"/>
          <w:sz w:val="22"/>
          <w:szCs w:val="22"/>
        </w:rPr>
        <w:t xml:space="preserve">0117 986 5389 </w:t>
      </w:r>
      <w:r w:rsidRPr="005471B5">
        <w:rPr>
          <w:color w:val="auto"/>
          <w:sz w:val="22"/>
          <w:szCs w:val="22"/>
        </w:rPr>
        <w:tab/>
      </w:r>
      <w:r w:rsidRPr="005471B5">
        <w:rPr>
          <w:color w:val="auto"/>
          <w:sz w:val="22"/>
          <w:szCs w:val="22"/>
        </w:rPr>
        <w:tab/>
      </w:r>
      <w:r w:rsidRPr="005471B5">
        <w:rPr>
          <w:color w:val="auto"/>
          <w:sz w:val="22"/>
          <w:szCs w:val="22"/>
        </w:rPr>
        <w:tab/>
      </w:r>
      <w:r w:rsidRPr="005471B5">
        <w:rPr>
          <w:color w:val="auto"/>
          <w:sz w:val="22"/>
          <w:szCs w:val="22"/>
        </w:rPr>
        <w:tab/>
      </w:r>
      <w:r w:rsidRPr="005471B5">
        <w:rPr>
          <w:color w:val="auto"/>
          <w:sz w:val="22"/>
          <w:szCs w:val="22"/>
        </w:rPr>
        <w:tab/>
      </w:r>
      <w:r w:rsidRPr="005471B5">
        <w:rPr>
          <w:color w:val="auto"/>
          <w:sz w:val="22"/>
          <w:szCs w:val="22"/>
        </w:rPr>
        <w:tab/>
      </w:r>
    </w:p>
    <w:p w14:paraId="7FAC5EA9" w14:textId="77777777" w:rsidR="00B75767" w:rsidRPr="005471B5" w:rsidRDefault="00B75767" w:rsidP="00B75767">
      <w:pPr>
        <w:pStyle w:val="Default"/>
        <w:spacing w:line="276" w:lineRule="auto"/>
        <w:rPr>
          <w:color w:val="auto"/>
          <w:sz w:val="22"/>
          <w:szCs w:val="22"/>
        </w:rPr>
      </w:pPr>
      <w:r w:rsidRPr="005471B5">
        <w:rPr>
          <w:color w:val="auto"/>
          <w:sz w:val="22"/>
          <w:szCs w:val="22"/>
        </w:rPr>
        <w:t xml:space="preserve">E: </w:t>
      </w:r>
      <w:r>
        <w:rPr>
          <w:color w:val="auto"/>
          <w:sz w:val="22"/>
          <w:szCs w:val="22"/>
        </w:rPr>
        <w:tab/>
      </w:r>
      <w:hyperlink r:id="rId12" w:history="1">
        <w:r w:rsidRPr="005471B5">
          <w:rPr>
            <w:rStyle w:val="Hyperlink"/>
            <w:sz w:val="22"/>
            <w:szCs w:val="22"/>
          </w:rPr>
          <w:t>enquiries@aelp.org.uk</w:t>
        </w:r>
      </w:hyperlink>
      <w:r w:rsidRPr="00202705">
        <w:rPr>
          <w:color w:val="auto"/>
          <w:sz w:val="22"/>
          <w:szCs w:val="22"/>
        </w:rPr>
        <w:t xml:space="preserve"> </w:t>
      </w:r>
    </w:p>
    <w:p w14:paraId="12B871A8" w14:textId="77777777" w:rsidR="003E0747" w:rsidRPr="00E234D7" w:rsidRDefault="00B75767" w:rsidP="00E234D7">
      <w:pPr>
        <w:pStyle w:val="NormalWeb"/>
        <w:shd w:val="clear" w:color="auto" w:fill="FFFFFF"/>
        <w:spacing w:before="0" w:beforeAutospacing="0" w:after="264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71B5">
        <w:rPr>
          <w:rFonts w:ascii="Arial" w:eastAsia="Times New Roman" w:hAnsi="Arial" w:cs="Arial"/>
          <w:sz w:val="22"/>
          <w:szCs w:val="22"/>
        </w:rPr>
        <w:t xml:space="preserve">W: </w:t>
      </w:r>
      <w:r>
        <w:rPr>
          <w:rFonts w:ascii="Arial" w:eastAsia="Times New Roman" w:hAnsi="Arial" w:cs="Arial"/>
          <w:sz w:val="22"/>
          <w:szCs w:val="22"/>
        </w:rPr>
        <w:tab/>
      </w:r>
      <w:hyperlink r:id="rId13" w:history="1">
        <w:r w:rsidR="00E234D7" w:rsidRPr="003570C2">
          <w:rPr>
            <w:rStyle w:val="Hyperlink"/>
            <w:rFonts w:ascii="Arial" w:eastAsia="Times New Roman" w:hAnsi="Arial" w:cs="Arial"/>
            <w:sz w:val="22"/>
            <w:szCs w:val="22"/>
          </w:rPr>
          <w:t>www.aelp.org.uk</w:t>
        </w:r>
      </w:hyperlink>
      <w:r w:rsidR="00E234D7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3E0747" w:rsidRPr="00E234D7" w:rsidSect="00BF6E50">
      <w:footerReference w:type="default" r:id="rId14"/>
      <w:footerReference w:type="first" r:id="rId15"/>
      <w:pgSz w:w="11906" w:h="16838"/>
      <w:pgMar w:top="1418" w:right="1080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DAC9D" w14:textId="77777777" w:rsidR="007F7AB5" w:rsidRDefault="007F7AB5" w:rsidP="008117CC">
      <w:r>
        <w:separator/>
      </w:r>
    </w:p>
  </w:endnote>
  <w:endnote w:type="continuationSeparator" w:id="0">
    <w:p w14:paraId="3B552169" w14:textId="77777777" w:rsidR="007F7AB5" w:rsidRDefault="007F7AB5" w:rsidP="0081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440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55315" w14:textId="067DE7D4" w:rsidR="00A73AA5" w:rsidRDefault="00A73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3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810CB2" w14:textId="77777777" w:rsidR="00A73AA5" w:rsidRDefault="00A73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397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C0EB4" w14:textId="7F006B47" w:rsidR="00A73AA5" w:rsidRDefault="00A73AA5" w:rsidP="00F908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5CB1C" w14:textId="77777777" w:rsidR="007F7AB5" w:rsidRDefault="007F7AB5" w:rsidP="008117CC">
      <w:r>
        <w:separator/>
      </w:r>
    </w:p>
  </w:footnote>
  <w:footnote w:type="continuationSeparator" w:id="0">
    <w:p w14:paraId="13126B57" w14:textId="77777777" w:rsidR="007F7AB5" w:rsidRDefault="007F7AB5" w:rsidP="0081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6E"/>
    <w:multiLevelType w:val="hybridMultilevel"/>
    <w:tmpl w:val="4062487E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B53C22"/>
    <w:multiLevelType w:val="hybridMultilevel"/>
    <w:tmpl w:val="36C6BA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D6D88"/>
    <w:multiLevelType w:val="hybridMultilevel"/>
    <w:tmpl w:val="C8E4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1341"/>
    <w:multiLevelType w:val="hybridMultilevel"/>
    <w:tmpl w:val="CDD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0B97"/>
    <w:multiLevelType w:val="hybridMultilevel"/>
    <w:tmpl w:val="BAE6A1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75D98"/>
    <w:multiLevelType w:val="hybridMultilevel"/>
    <w:tmpl w:val="EA62373E"/>
    <w:lvl w:ilvl="0" w:tplc="58622B30">
      <w:numFmt w:val="bullet"/>
      <w:lvlText w:val="-"/>
      <w:lvlJc w:val="left"/>
      <w:pPr>
        <w:ind w:left="1101" w:hanging="360"/>
      </w:pPr>
      <w:rPr>
        <w:rFonts w:ascii="Arial" w:eastAsia="Calibri" w:hAnsi="Arial" w:cs="Arial" w:hint="default"/>
        <w:b/>
      </w:rPr>
    </w:lvl>
    <w:lvl w:ilvl="1" w:tplc="0809000F">
      <w:start w:val="1"/>
      <w:numFmt w:val="decimal"/>
      <w:lvlText w:val="%2."/>
      <w:lvlJc w:val="left"/>
      <w:pPr>
        <w:ind w:left="1898" w:hanging="360"/>
      </w:pPr>
    </w:lvl>
    <w:lvl w:ilvl="2" w:tplc="0809001B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>
    <w:nsid w:val="419F3E1A"/>
    <w:multiLevelType w:val="hybridMultilevel"/>
    <w:tmpl w:val="5A1A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A1D54"/>
    <w:multiLevelType w:val="hybridMultilevel"/>
    <w:tmpl w:val="CF64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31AD1"/>
    <w:multiLevelType w:val="hybridMultilevel"/>
    <w:tmpl w:val="F33A9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017A"/>
    <w:multiLevelType w:val="hybridMultilevel"/>
    <w:tmpl w:val="BDD4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66DC9"/>
    <w:multiLevelType w:val="hybridMultilevel"/>
    <w:tmpl w:val="18D2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827F0"/>
    <w:multiLevelType w:val="hybridMultilevel"/>
    <w:tmpl w:val="9314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1137F2"/>
    <w:multiLevelType w:val="hybridMultilevel"/>
    <w:tmpl w:val="E90A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83D82"/>
    <w:multiLevelType w:val="hybridMultilevel"/>
    <w:tmpl w:val="A8764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A00ABF"/>
    <w:multiLevelType w:val="hybridMultilevel"/>
    <w:tmpl w:val="C568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902F3"/>
    <w:multiLevelType w:val="hybridMultilevel"/>
    <w:tmpl w:val="C2A6CB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83769"/>
    <w:multiLevelType w:val="hybridMultilevel"/>
    <w:tmpl w:val="E7FC34B0"/>
    <w:lvl w:ilvl="0" w:tplc="58622B30">
      <w:numFmt w:val="bullet"/>
      <w:lvlText w:val="-"/>
      <w:lvlJc w:val="left"/>
      <w:pPr>
        <w:ind w:left="1286" w:hanging="360"/>
      </w:pPr>
      <w:rPr>
        <w:rFonts w:ascii="Arial" w:eastAsia="Calibri" w:hAnsi="Arial" w:cs="Arial" w:hint="default"/>
        <w:b/>
      </w:rPr>
    </w:lvl>
    <w:lvl w:ilvl="1" w:tplc="0809000F">
      <w:start w:val="1"/>
      <w:numFmt w:val="decimal"/>
      <w:lvlText w:val="%2."/>
      <w:lvlJc w:val="left"/>
      <w:pPr>
        <w:ind w:left="2083" w:hanging="360"/>
      </w:pPr>
    </w:lvl>
    <w:lvl w:ilvl="2" w:tplc="0809001B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09A0B90"/>
    <w:multiLevelType w:val="hybridMultilevel"/>
    <w:tmpl w:val="AC90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22E8C"/>
    <w:multiLevelType w:val="hybridMultilevel"/>
    <w:tmpl w:val="BB7C01E6"/>
    <w:lvl w:ilvl="0" w:tplc="B62ADC8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010B1F"/>
    <w:multiLevelType w:val="hybridMultilevel"/>
    <w:tmpl w:val="C9C2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2369E"/>
    <w:multiLevelType w:val="hybridMultilevel"/>
    <w:tmpl w:val="07386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35CEC"/>
    <w:multiLevelType w:val="hybridMultilevel"/>
    <w:tmpl w:val="29AE67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"/>
  </w:num>
  <w:num w:numId="5">
    <w:abstractNumId w:val="2"/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19"/>
  </w:num>
  <w:num w:numId="16">
    <w:abstractNumId w:val="17"/>
  </w:num>
  <w:num w:numId="17">
    <w:abstractNumId w:val="20"/>
  </w:num>
  <w:num w:numId="18">
    <w:abstractNumId w:val="15"/>
  </w:num>
  <w:num w:numId="19">
    <w:abstractNumId w:val="6"/>
  </w:num>
  <w:num w:numId="20">
    <w:abstractNumId w:val="21"/>
  </w:num>
  <w:num w:numId="21">
    <w:abstractNumId w:val="5"/>
  </w:num>
  <w:num w:numId="22">
    <w:abstractNumId w:val="16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1"/>
    <w:rsid w:val="000011D0"/>
    <w:rsid w:val="000030F0"/>
    <w:rsid w:val="00004A08"/>
    <w:rsid w:val="00007C2D"/>
    <w:rsid w:val="00007ED9"/>
    <w:rsid w:val="0001083F"/>
    <w:rsid w:val="000123F7"/>
    <w:rsid w:val="00013590"/>
    <w:rsid w:val="00014BDB"/>
    <w:rsid w:val="00015297"/>
    <w:rsid w:val="00016F5D"/>
    <w:rsid w:val="000245DF"/>
    <w:rsid w:val="00026FA3"/>
    <w:rsid w:val="00030326"/>
    <w:rsid w:val="00031783"/>
    <w:rsid w:val="000330F9"/>
    <w:rsid w:val="00035F22"/>
    <w:rsid w:val="0003753D"/>
    <w:rsid w:val="000439BD"/>
    <w:rsid w:val="000444F9"/>
    <w:rsid w:val="000469CD"/>
    <w:rsid w:val="00046F58"/>
    <w:rsid w:val="00054998"/>
    <w:rsid w:val="00054D15"/>
    <w:rsid w:val="00056C6B"/>
    <w:rsid w:val="00060568"/>
    <w:rsid w:val="00065369"/>
    <w:rsid w:val="00066AAF"/>
    <w:rsid w:val="0007051A"/>
    <w:rsid w:val="000710C9"/>
    <w:rsid w:val="00077CC0"/>
    <w:rsid w:val="00077D67"/>
    <w:rsid w:val="00077F88"/>
    <w:rsid w:val="0008147A"/>
    <w:rsid w:val="00082BE1"/>
    <w:rsid w:val="00084008"/>
    <w:rsid w:val="00086F53"/>
    <w:rsid w:val="00090A2F"/>
    <w:rsid w:val="000916EE"/>
    <w:rsid w:val="00094E1A"/>
    <w:rsid w:val="000950DC"/>
    <w:rsid w:val="000A0657"/>
    <w:rsid w:val="000A3777"/>
    <w:rsid w:val="000A5342"/>
    <w:rsid w:val="000A589C"/>
    <w:rsid w:val="000B014E"/>
    <w:rsid w:val="000B04A1"/>
    <w:rsid w:val="000B0BDF"/>
    <w:rsid w:val="000B1BA3"/>
    <w:rsid w:val="000B3E5A"/>
    <w:rsid w:val="000B5C39"/>
    <w:rsid w:val="000B5D99"/>
    <w:rsid w:val="000C0613"/>
    <w:rsid w:val="000C11C5"/>
    <w:rsid w:val="000C47C4"/>
    <w:rsid w:val="000C47CD"/>
    <w:rsid w:val="000C4DCD"/>
    <w:rsid w:val="000C6864"/>
    <w:rsid w:val="000D0B62"/>
    <w:rsid w:val="000D2FF4"/>
    <w:rsid w:val="000D6275"/>
    <w:rsid w:val="000E04F6"/>
    <w:rsid w:val="000E15A5"/>
    <w:rsid w:val="000E20AC"/>
    <w:rsid w:val="000E3ADD"/>
    <w:rsid w:val="000E49AF"/>
    <w:rsid w:val="000E5D3A"/>
    <w:rsid w:val="000F23F6"/>
    <w:rsid w:val="000F2D7D"/>
    <w:rsid w:val="000F3CB2"/>
    <w:rsid w:val="000F75BA"/>
    <w:rsid w:val="00102FD6"/>
    <w:rsid w:val="0010373B"/>
    <w:rsid w:val="00104466"/>
    <w:rsid w:val="00106F38"/>
    <w:rsid w:val="001116D3"/>
    <w:rsid w:val="00113788"/>
    <w:rsid w:val="00120AEE"/>
    <w:rsid w:val="00121367"/>
    <w:rsid w:val="001234B3"/>
    <w:rsid w:val="001260FF"/>
    <w:rsid w:val="0012674A"/>
    <w:rsid w:val="001314EE"/>
    <w:rsid w:val="001316F8"/>
    <w:rsid w:val="00132F8D"/>
    <w:rsid w:val="001370E1"/>
    <w:rsid w:val="00142B04"/>
    <w:rsid w:val="00142E90"/>
    <w:rsid w:val="0014388A"/>
    <w:rsid w:val="00145195"/>
    <w:rsid w:val="00145226"/>
    <w:rsid w:val="00145373"/>
    <w:rsid w:val="00147F69"/>
    <w:rsid w:val="00150723"/>
    <w:rsid w:val="00153FA6"/>
    <w:rsid w:val="00161C31"/>
    <w:rsid w:val="00163B7A"/>
    <w:rsid w:val="00164261"/>
    <w:rsid w:val="00167DDB"/>
    <w:rsid w:val="0017038E"/>
    <w:rsid w:val="00174EDC"/>
    <w:rsid w:val="001758D8"/>
    <w:rsid w:val="001759D2"/>
    <w:rsid w:val="00175D66"/>
    <w:rsid w:val="00176534"/>
    <w:rsid w:val="00177774"/>
    <w:rsid w:val="001821C2"/>
    <w:rsid w:val="001853C9"/>
    <w:rsid w:val="0018573E"/>
    <w:rsid w:val="00185DE9"/>
    <w:rsid w:val="00185FB0"/>
    <w:rsid w:val="001903CA"/>
    <w:rsid w:val="00190A5E"/>
    <w:rsid w:val="00191DA7"/>
    <w:rsid w:val="001935F6"/>
    <w:rsid w:val="00193758"/>
    <w:rsid w:val="0019554C"/>
    <w:rsid w:val="00195863"/>
    <w:rsid w:val="00196134"/>
    <w:rsid w:val="001A074F"/>
    <w:rsid w:val="001A141C"/>
    <w:rsid w:val="001A2CBA"/>
    <w:rsid w:val="001A3BC6"/>
    <w:rsid w:val="001A4750"/>
    <w:rsid w:val="001A577E"/>
    <w:rsid w:val="001A5A5F"/>
    <w:rsid w:val="001A655D"/>
    <w:rsid w:val="001A657C"/>
    <w:rsid w:val="001B0D80"/>
    <w:rsid w:val="001B2B4E"/>
    <w:rsid w:val="001B4A01"/>
    <w:rsid w:val="001B630A"/>
    <w:rsid w:val="001C204F"/>
    <w:rsid w:val="001C3FB8"/>
    <w:rsid w:val="001C4527"/>
    <w:rsid w:val="001C4B5A"/>
    <w:rsid w:val="001C512F"/>
    <w:rsid w:val="001D12BD"/>
    <w:rsid w:val="001D1B46"/>
    <w:rsid w:val="001D21A8"/>
    <w:rsid w:val="001D2967"/>
    <w:rsid w:val="001D47B5"/>
    <w:rsid w:val="001D5A4D"/>
    <w:rsid w:val="001E0819"/>
    <w:rsid w:val="001E0CD9"/>
    <w:rsid w:val="001E1E2A"/>
    <w:rsid w:val="001E4AB5"/>
    <w:rsid w:val="001E5604"/>
    <w:rsid w:val="001E75A7"/>
    <w:rsid w:val="001F0E07"/>
    <w:rsid w:val="001F325E"/>
    <w:rsid w:val="001F7760"/>
    <w:rsid w:val="001F7FF7"/>
    <w:rsid w:val="002029EF"/>
    <w:rsid w:val="00204A64"/>
    <w:rsid w:val="002050B4"/>
    <w:rsid w:val="0020546A"/>
    <w:rsid w:val="0020773D"/>
    <w:rsid w:val="0020774D"/>
    <w:rsid w:val="00214A53"/>
    <w:rsid w:val="0021607A"/>
    <w:rsid w:val="00217D8A"/>
    <w:rsid w:val="00217E89"/>
    <w:rsid w:val="0022121B"/>
    <w:rsid w:val="00223BAA"/>
    <w:rsid w:val="00226C1A"/>
    <w:rsid w:val="0022702C"/>
    <w:rsid w:val="002315CD"/>
    <w:rsid w:val="002334B2"/>
    <w:rsid w:val="00233761"/>
    <w:rsid w:val="0023436C"/>
    <w:rsid w:val="00236E1E"/>
    <w:rsid w:val="00240DB8"/>
    <w:rsid w:val="0024181B"/>
    <w:rsid w:val="002426A1"/>
    <w:rsid w:val="0024378A"/>
    <w:rsid w:val="00244D6D"/>
    <w:rsid w:val="002455EB"/>
    <w:rsid w:val="00250523"/>
    <w:rsid w:val="00255970"/>
    <w:rsid w:val="00255C04"/>
    <w:rsid w:val="00256AAD"/>
    <w:rsid w:val="00256E8B"/>
    <w:rsid w:val="00261A11"/>
    <w:rsid w:val="00264EF6"/>
    <w:rsid w:val="0026505C"/>
    <w:rsid w:val="002717C0"/>
    <w:rsid w:val="002744E4"/>
    <w:rsid w:val="00274FF8"/>
    <w:rsid w:val="00275842"/>
    <w:rsid w:val="00277D7C"/>
    <w:rsid w:val="00280E8A"/>
    <w:rsid w:val="002812D8"/>
    <w:rsid w:val="002823E2"/>
    <w:rsid w:val="00282742"/>
    <w:rsid w:val="0028473B"/>
    <w:rsid w:val="00285CC9"/>
    <w:rsid w:val="00287B43"/>
    <w:rsid w:val="00287E43"/>
    <w:rsid w:val="00293BAD"/>
    <w:rsid w:val="002964CA"/>
    <w:rsid w:val="002A6AA3"/>
    <w:rsid w:val="002A74FA"/>
    <w:rsid w:val="002B2B7F"/>
    <w:rsid w:val="002B2E14"/>
    <w:rsid w:val="002B443F"/>
    <w:rsid w:val="002B4D7C"/>
    <w:rsid w:val="002B5458"/>
    <w:rsid w:val="002B6171"/>
    <w:rsid w:val="002B67D9"/>
    <w:rsid w:val="002B7154"/>
    <w:rsid w:val="002C3D5D"/>
    <w:rsid w:val="002C539C"/>
    <w:rsid w:val="002D1395"/>
    <w:rsid w:val="002D1C85"/>
    <w:rsid w:val="002D309C"/>
    <w:rsid w:val="002D333A"/>
    <w:rsid w:val="002D3D00"/>
    <w:rsid w:val="002D5F3F"/>
    <w:rsid w:val="002D6BD2"/>
    <w:rsid w:val="002D6DCB"/>
    <w:rsid w:val="002D7214"/>
    <w:rsid w:val="002E0CD0"/>
    <w:rsid w:val="002E2CFD"/>
    <w:rsid w:val="002E3B7D"/>
    <w:rsid w:val="002E40B7"/>
    <w:rsid w:val="002E4919"/>
    <w:rsid w:val="002E53F2"/>
    <w:rsid w:val="002E5C00"/>
    <w:rsid w:val="002E79B9"/>
    <w:rsid w:val="002F341E"/>
    <w:rsid w:val="002F36A3"/>
    <w:rsid w:val="002F57AF"/>
    <w:rsid w:val="002F7388"/>
    <w:rsid w:val="003019F8"/>
    <w:rsid w:val="00302B70"/>
    <w:rsid w:val="003032E3"/>
    <w:rsid w:val="00303ABE"/>
    <w:rsid w:val="00306D7D"/>
    <w:rsid w:val="00307639"/>
    <w:rsid w:val="00310D4C"/>
    <w:rsid w:val="00312872"/>
    <w:rsid w:val="00313033"/>
    <w:rsid w:val="00313851"/>
    <w:rsid w:val="003146F6"/>
    <w:rsid w:val="00317FD8"/>
    <w:rsid w:val="003215CE"/>
    <w:rsid w:val="0032610F"/>
    <w:rsid w:val="00327859"/>
    <w:rsid w:val="003305D8"/>
    <w:rsid w:val="00331CF8"/>
    <w:rsid w:val="00333A92"/>
    <w:rsid w:val="00334854"/>
    <w:rsid w:val="003364A1"/>
    <w:rsid w:val="00336615"/>
    <w:rsid w:val="0033695F"/>
    <w:rsid w:val="00337453"/>
    <w:rsid w:val="00340C4B"/>
    <w:rsid w:val="00343251"/>
    <w:rsid w:val="00343C1C"/>
    <w:rsid w:val="003453FA"/>
    <w:rsid w:val="003458C7"/>
    <w:rsid w:val="00346255"/>
    <w:rsid w:val="00346897"/>
    <w:rsid w:val="00347547"/>
    <w:rsid w:val="00350A4E"/>
    <w:rsid w:val="00350B25"/>
    <w:rsid w:val="00353924"/>
    <w:rsid w:val="003549E1"/>
    <w:rsid w:val="00354C05"/>
    <w:rsid w:val="003560B3"/>
    <w:rsid w:val="00356A00"/>
    <w:rsid w:val="003577B6"/>
    <w:rsid w:val="00362D96"/>
    <w:rsid w:val="003712DE"/>
    <w:rsid w:val="003723A7"/>
    <w:rsid w:val="0037478F"/>
    <w:rsid w:val="00375202"/>
    <w:rsid w:val="00376400"/>
    <w:rsid w:val="00380EA8"/>
    <w:rsid w:val="003852A3"/>
    <w:rsid w:val="00386C01"/>
    <w:rsid w:val="003872CD"/>
    <w:rsid w:val="00392011"/>
    <w:rsid w:val="00392B73"/>
    <w:rsid w:val="003957E2"/>
    <w:rsid w:val="00397B3E"/>
    <w:rsid w:val="00397BD8"/>
    <w:rsid w:val="003A032F"/>
    <w:rsid w:val="003A0FA5"/>
    <w:rsid w:val="003A4CA5"/>
    <w:rsid w:val="003A6E98"/>
    <w:rsid w:val="003A7A7A"/>
    <w:rsid w:val="003B0890"/>
    <w:rsid w:val="003B2E77"/>
    <w:rsid w:val="003B44B0"/>
    <w:rsid w:val="003B5A1B"/>
    <w:rsid w:val="003B6C9A"/>
    <w:rsid w:val="003C196D"/>
    <w:rsid w:val="003C5208"/>
    <w:rsid w:val="003C56A2"/>
    <w:rsid w:val="003C796D"/>
    <w:rsid w:val="003D0A27"/>
    <w:rsid w:val="003D14AD"/>
    <w:rsid w:val="003D298C"/>
    <w:rsid w:val="003D663B"/>
    <w:rsid w:val="003D7F42"/>
    <w:rsid w:val="003E0747"/>
    <w:rsid w:val="003E273B"/>
    <w:rsid w:val="003E2CB5"/>
    <w:rsid w:val="003E5014"/>
    <w:rsid w:val="003E5CE0"/>
    <w:rsid w:val="003E7C97"/>
    <w:rsid w:val="003F0F0E"/>
    <w:rsid w:val="003F1433"/>
    <w:rsid w:val="003F145B"/>
    <w:rsid w:val="003F19B3"/>
    <w:rsid w:val="003F3F2B"/>
    <w:rsid w:val="003F47BF"/>
    <w:rsid w:val="003F5AB7"/>
    <w:rsid w:val="00405483"/>
    <w:rsid w:val="00406355"/>
    <w:rsid w:val="00411A4D"/>
    <w:rsid w:val="00414732"/>
    <w:rsid w:val="0041671A"/>
    <w:rsid w:val="00417A50"/>
    <w:rsid w:val="00421509"/>
    <w:rsid w:val="0042208E"/>
    <w:rsid w:val="00423185"/>
    <w:rsid w:val="004241ED"/>
    <w:rsid w:val="0042578B"/>
    <w:rsid w:val="0042629F"/>
    <w:rsid w:val="00426AAC"/>
    <w:rsid w:val="00427DAC"/>
    <w:rsid w:val="00431BE7"/>
    <w:rsid w:val="004326DF"/>
    <w:rsid w:val="0044156C"/>
    <w:rsid w:val="00443283"/>
    <w:rsid w:val="00446921"/>
    <w:rsid w:val="004507FE"/>
    <w:rsid w:val="00454C60"/>
    <w:rsid w:val="00457917"/>
    <w:rsid w:val="00457E80"/>
    <w:rsid w:val="004617CF"/>
    <w:rsid w:val="00462070"/>
    <w:rsid w:val="0046356E"/>
    <w:rsid w:val="00466565"/>
    <w:rsid w:val="00466A87"/>
    <w:rsid w:val="004715B8"/>
    <w:rsid w:val="0047271F"/>
    <w:rsid w:val="00474917"/>
    <w:rsid w:val="00480EEA"/>
    <w:rsid w:val="00485DFC"/>
    <w:rsid w:val="0048763E"/>
    <w:rsid w:val="0049231F"/>
    <w:rsid w:val="004923B6"/>
    <w:rsid w:val="0049546F"/>
    <w:rsid w:val="004A0783"/>
    <w:rsid w:val="004A33F8"/>
    <w:rsid w:val="004A34EF"/>
    <w:rsid w:val="004A4D1D"/>
    <w:rsid w:val="004B2048"/>
    <w:rsid w:val="004B28D6"/>
    <w:rsid w:val="004B2D52"/>
    <w:rsid w:val="004B33C2"/>
    <w:rsid w:val="004B3657"/>
    <w:rsid w:val="004B7AD5"/>
    <w:rsid w:val="004C15C9"/>
    <w:rsid w:val="004C188F"/>
    <w:rsid w:val="004C4175"/>
    <w:rsid w:val="004C42CD"/>
    <w:rsid w:val="004C63DB"/>
    <w:rsid w:val="004D0170"/>
    <w:rsid w:val="004D0C54"/>
    <w:rsid w:val="004D1FBF"/>
    <w:rsid w:val="004D2246"/>
    <w:rsid w:val="004D23BF"/>
    <w:rsid w:val="004D357B"/>
    <w:rsid w:val="004D4F50"/>
    <w:rsid w:val="004D7112"/>
    <w:rsid w:val="004D75E5"/>
    <w:rsid w:val="004E013D"/>
    <w:rsid w:val="004E01DA"/>
    <w:rsid w:val="004E0A69"/>
    <w:rsid w:val="004E1383"/>
    <w:rsid w:val="004E654C"/>
    <w:rsid w:val="004E66D1"/>
    <w:rsid w:val="004E6F6D"/>
    <w:rsid w:val="004E76CE"/>
    <w:rsid w:val="004F1238"/>
    <w:rsid w:val="004F245D"/>
    <w:rsid w:val="004F43C8"/>
    <w:rsid w:val="004F6B77"/>
    <w:rsid w:val="004F7E21"/>
    <w:rsid w:val="005015D8"/>
    <w:rsid w:val="00504561"/>
    <w:rsid w:val="005052CC"/>
    <w:rsid w:val="005075B0"/>
    <w:rsid w:val="005110FE"/>
    <w:rsid w:val="0051333B"/>
    <w:rsid w:val="005143F2"/>
    <w:rsid w:val="00516E32"/>
    <w:rsid w:val="00517C91"/>
    <w:rsid w:val="005214C8"/>
    <w:rsid w:val="005224A2"/>
    <w:rsid w:val="00522CE6"/>
    <w:rsid w:val="00527688"/>
    <w:rsid w:val="005325E0"/>
    <w:rsid w:val="0053310C"/>
    <w:rsid w:val="005362D2"/>
    <w:rsid w:val="0054176F"/>
    <w:rsid w:val="005432FE"/>
    <w:rsid w:val="005500D6"/>
    <w:rsid w:val="00551453"/>
    <w:rsid w:val="00552DF1"/>
    <w:rsid w:val="00552FC2"/>
    <w:rsid w:val="00554FF2"/>
    <w:rsid w:val="005608B3"/>
    <w:rsid w:val="0056189B"/>
    <w:rsid w:val="00562F5D"/>
    <w:rsid w:val="00567A41"/>
    <w:rsid w:val="005719E3"/>
    <w:rsid w:val="00572D07"/>
    <w:rsid w:val="005741D1"/>
    <w:rsid w:val="005741D2"/>
    <w:rsid w:val="00575521"/>
    <w:rsid w:val="00575C48"/>
    <w:rsid w:val="00576376"/>
    <w:rsid w:val="00576471"/>
    <w:rsid w:val="005771B8"/>
    <w:rsid w:val="00577CE8"/>
    <w:rsid w:val="00577D04"/>
    <w:rsid w:val="00580F67"/>
    <w:rsid w:val="00581132"/>
    <w:rsid w:val="0058375D"/>
    <w:rsid w:val="0059402B"/>
    <w:rsid w:val="0059600B"/>
    <w:rsid w:val="00596EEC"/>
    <w:rsid w:val="005A149A"/>
    <w:rsid w:val="005A2BEE"/>
    <w:rsid w:val="005A5145"/>
    <w:rsid w:val="005A6EEC"/>
    <w:rsid w:val="005B301A"/>
    <w:rsid w:val="005B3256"/>
    <w:rsid w:val="005B3FA2"/>
    <w:rsid w:val="005B448C"/>
    <w:rsid w:val="005B4E67"/>
    <w:rsid w:val="005B5ADC"/>
    <w:rsid w:val="005B723C"/>
    <w:rsid w:val="005C0C00"/>
    <w:rsid w:val="005C1257"/>
    <w:rsid w:val="005C2089"/>
    <w:rsid w:val="005C5C72"/>
    <w:rsid w:val="005C6364"/>
    <w:rsid w:val="005C7D21"/>
    <w:rsid w:val="005D23C0"/>
    <w:rsid w:val="005D6332"/>
    <w:rsid w:val="005D64B2"/>
    <w:rsid w:val="005D6901"/>
    <w:rsid w:val="005E0983"/>
    <w:rsid w:val="005E26A3"/>
    <w:rsid w:val="005E26C9"/>
    <w:rsid w:val="005E2704"/>
    <w:rsid w:val="005E6611"/>
    <w:rsid w:val="005E72A8"/>
    <w:rsid w:val="005E7EF3"/>
    <w:rsid w:val="005F0C9D"/>
    <w:rsid w:val="005F2211"/>
    <w:rsid w:val="005F340D"/>
    <w:rsid w:val="005F386C"/>
    <w:rsid w:val="005F3AD0"/>
    <w:rsid w:val="005F5AF1"/>
    <w:rsid w:val="005F67CE"/>
    <w:rsid w:val="005F7EF6"/>
    <w:rsid w:val="00600604"/>
    <w:rsid w:val="006017C0"/>
    <w:rsid w:val="00601B8B"/>
    <w:rsid w:val="00602B57"/>
    <w:rsid w:val="00603E3C"/>
    <w:rsid w:val="006044E1"/>
    <w:rsid w:val="006056D6"/>
    <w:rsid w:val="00605E4B"/>
    <w:rsid w:val="00605EA5"/>
    <w:rsid w:val="0061180E"/>
    <w:rsid w:val="00622C44"/>
    <w:rsid w:val="00623104"/>
    <w:rsid w:val="006251E4"/>
    <w:rsid w:val="006257F5"/>
    <w:rsid w:val="00630835"/>
    <w:rsid w:val="006318A5"/>
    <w:rsid w:val="006319BE"/>
    <w:rsid w:val="00632D87"/>
    <w:rsid w:val="00635EF8"/>
    <w:rsid w:val="00636083"/>
    <w:rsid w:val="006361D8"/>
    <w:rsid w:val="00637CB1"/>
    <w:rsid w:val="00640E30"/>
    <w:rsid w:val="00641F84"/>
    <w:rsid w:val="00643657"/>
    <w:rsid w:val="00644051"/>
    <w:rsid w:val="00644225"/>
    <w:rsid w:val="00645AB9"/>
    <w:rsid w:val="006460B1"/>
    <w:rsid w:val="00646BD4"/>
    <w:rsid w:val="00650900"/>
    <w:rsid w:val="0065221B"/>
    <w:rsid w:val="00652C5A"/>
    <w:rsid w:val="00654D00"/>
    <w:rsid w:val="006579B2"/>
    <w:rsid w:val="00657F78"/>
    <w:rsid w:val="00675050"/>
    <w:rsid w:val="006761C4"/>
    <w:rsid w:val="006803BD"/>
    <w:rsid w:val="006810AF"/>
    <w:rsid w:val="00682965"/>
    <w:rsid w:val="006831A2"/>
    <w:rsid w:val="00683429"/>
    <w:rsid w:val="006843E5"/>
    <w:rsid w:val="0068607E"/>
    <w:rsid w:val="00687E7E"/>
    <w:rsid w:val="00691749"/>
    <w:rsid w:val="00692237"/>
    <w:rsid w:val="00692464"/>
    <w:rsid w:val="00692FD4"/>
    <w:rsid w:val="0069305C"/>
    <w:rsid w:val="00694D57"/>
    <w:rsid w:val="0069503D"/>
    <w:rsid w:val="006973EB"/>
    <w:rsid w:val="006A03DB"/>
    <w:rsid w:val="006A17CD"/>
    <w:rsid w:val="006A1FD7"/>
    <w:rsid w:val="006A2326"/>
    <w:rsid w:val="006A2772"/>
    <w:rsid w:val="006A39E8"/>
    <w:rsid w:val="006A4B8D"/>
    <w:rsid w:val="006A57E2"/>
    <w:rsid w:val="006A6A1E"/>
    <w:rsid w:val="006B0480"/>
    <w:rsid w:val="006B0945"/>
    <w:rsid w:val="006B45D5"/>
    <w:rsid w:val="006B6184"/>
    <w:rsid w:val="006B646A"/>
    <w:rsid w:val="006B71DE"/>
    <w:rsid w:val="006C1ACE"/>
    <w:rsid w:val="006C73F0"/>
    <w:rsid w:val="006C7C96"/>
    <w:rsid w:val="006D1C37"/>
    <w:rsid w:val="006D1D8E"/>
    <w:rsid w:val="006D4E32"/>
    <w:rsid w:val="006E3876"/>
    <w:rsid w:val="006E4981"/>
    <w:rsid w:val="006E54C7"/>
    <w:rsid w:val="006E6D40"/>
    <w:rsid w:val="006E6EC8"/>
    <w:rsid w:val="006E7386"/>
    <w:rsid w:val="006E7C31"/>
    <w:rsid w:val="006F2C58"/>
    <w:rsid w:val="006F320A"/>
    <w:rsid w:val="006F3C1D"/>
    <w:rsid w:val="006F4977"/>
    <w:rsid w:val="006F4CE1"/>
    <w:rsid w:val="006F50B7"/>
    <w:rsid w:val="006F588C"/>
    <w:rsid w:val="006F72D4"/>
    <w:rsid w:val="00700D11"/>
    <w:rsid w:val="007012AB"/>
    <w:rsid w:val="0070278B"/>
    <w:rsid w:val="00703E45"/>
    <w:rsid w:val="00704FE6"/>
    <w:rsid w:val="00705D81"/>
    <w:rsid w:val="007066B1"/>
    <w:rsid w:val="00706ADE"/>
    <w:rsid w:val="0070739B"/>
    <w:rsid w:val="00713684"/>
    <w:rsid w:val="00713E62"/>
    <w:rsid w:val="007202B2"/>
    <w:rsid w:val="00720B4A"/>
    <w:rsid w:val="00723038"/>
    <w:rsid w:val="00724324"/>
    <w:rsid w:val="00726C13"/>
    <w:rsid w:val="00727FF5"/>
    <w:rsid w:val="0073157C"/>
    <w:rsid w:val="00734F2D"/>
    <w:rsid w:val="00734F40"/>
    <w:rsid w:val="00736C39"/>
    <w:rsid w:val="00745561"/>
    <w:rsid w:val="00745EE3"/>
    <w:rsid w:val="00750B0D"/>
    <w:rsid w:val="00750E2A"/>
    <w:rsid w:val="00751DD8"/>
    <w:rsid w:val="00752FB1"/>
    <w:rsid w:val="00754050"/>
    <w:rsid w:val="00757533"/>
    <w:rsid w:val="007633AA"/>
    <w:rsid w:val="0076354C"/>
    <w:rsid w:val="00767441"/>
    <w:rsid w:val="0076750A"/>
    <w:rsid w:val="00770E3C"/>
    <w:rsid w:val="007717C3"/>
    <w:rsid w:val="0077279A"/>
    <w:rsid w:val="00772B28"/>
    <w:rsid w:val="00777DE2"/>
    <w:rsid w:val="0078280A"/>
    <w:rsid w:val="00782D6D"/>
    <w:rsid w:val="007844E2"/>
    <w:rsid w:val="00790664"/>
    <w:rsid w:val="00792B66"/>
    <w:rsid w:val="00795148"/>
    <w:rsid w:val="00795FC5"/>
    <w:rsid w:val="007A1407"/>
    <w:rsid w:val="007A1FE2"/>
    <w:rsid w:val="007A372F"/>
    <w:rsid w:val="007A62D4"/>
    <w:rsid w:val="007A62E7"/>
    <w:rsid w:val="007B1D43"/>
    <w:rsid w:val="007B61D3"/>
    <w:rsid w:val="007C33A6"/>
    <w:rsid w:val="007C421E"/>
    <w:rsid w:val="007C5D4A"/>
    <w:rsid w:val="007C6548"/>
    <w:rsid w:val="007C75E4"/>
    <w:rsid w:val="007D1568"/>
    <w:rsid w:val="007D2A23"/>
    <w:rsid w:val="007D47E1"/>
    <w:rsid w:val="007E0758"/>
    <w:rsid w:val="007E2035"/>
    <w:rsid w:val="007E2A7F"/>
    <w:rsid w:val="007E4DAC"/>
    <w:rsid w:val="007E6D84"/>
    <w:rsid w:val="007F2183"/>
    <w:rsid w:val="007F3086"/>
    <w:rsid w:val="007F7AB5"/>
    <w:rsid w:val="007F7FD7"/>
    <w:rsid w:val="00803686"/>
    <w:rsid w:val="0080741F"/>
    <w:rsid w:val="008117CC"/>
    <w:rsid w:val="0081456B"/>
    <w:rsid w:val="00817EA8"/>
    <w:rsid w:val="00825B2E"/>
    <w:rsid w:val="00826750"/>
    <w:rsid w:val="00826C73"/>
    <w:rsid w:val="00826ED1"/>
    <w:rsid w:val="00831725"/>
    <w:rsid w:val="00837BE0"/>
    <w:rsid w:val="00840BA7"/>
    <w:rsid w:val="00840F2F"/>
    <w:rsid w:val="00841E60"/>
    <w:rsid w:val="0084377E"/>
    <w:rsid w:val="00850EF7"/>
    <w:rsid w:val="008519F8"/>
    <w:rsid w:val="008522C0"/>
    <w:rsid w:val="00857518"/>
    <w:rsid w:val="00861DB5"/>
    <w:rsid w:val="00862C94"/>
    <w:rsid w:val="00865861"/>
    <w:rsid w:val="00866B86"/>
    <w:rsid w:val="008704E0"/>
    <w:rsid w:val="008709CB"/>
    <w:rsid w:val="00871455"/>
    <w:rsid w:val="0087193C"/>
    <w:rsid w:val="00872871"/>
    <w:rsid w:val="00872947"/>
    <w:rsid w:val="00874609"/>
    <w:rsid w:val="0087657F"/>
    <w:rsid w:val="008765E8"/>
    <w:rsid w:val="00876C00"/>
    <w:rsid w:val="00882E87"/>
    <w:rsid w:val="00883CCB"/>
    <w:rsid w:val="008853A2"/>
    <w:rsid w:val="00885B3B"/>
    <w:rsid w:val="008866D4"/>
    <w:rsid w:val="0088794A"/>
    <w:rsid w:val="00890671"/>
    <w:rsid w:val="00891E0C"/>
    <w:rsid w:val="00893907"/>
    <w:rsid w:val="00895BCB"/>
    <w:rsid w:val="00897D2A"/>
    <w:rsid w:val="008A11F9"/>
    <w:rsid w:val="008A17B5"/>
    <w:rsid w:val="008A1DB8"/>
    <w:rsid w:val="008A212B"/>
    <w:rsid w:val="008A2525"/>
    <w:rsid w:val="008A5404"/>
    <w:rsid w:val="008A5C20"/>
    <w:rsid w:val="008A5DFE"/>
    <w:rsid w:val="008A6514"/>
    <w:rsid w:val="008A6714"/>
    <w:rsid w:val="008A72B0"/>
    <w:rsid w:val="008A7B7D"/>
    <w:rsid w:val="008B2128"/>
    <w:rsid w:val="008B30D3"/>
    <w:rsid w:val="008B71E1"/>
    <w:rsid w:val="008C16AD"/>
    <w:rsid w:val="008C21F4"/>
    <w:rsid w:val="008C27B6"/>
    <w:rsid w:val="008C297F"/>
    <w:rsid w:val="008C29D1"/>
    <w:rsid w:val="008C2B04"/>
    <w:rsid w:val="008C2C2D"/>
    <w:rsid w:val="008C3640"/>
    <w:rsid w:val="008C4DD2"/>
    <w:rsid w:val="008D172C"/>
    <w:rsid w:val="008D2015"/>
    <w:rsid w:val="008D25B3"/>
    <w:rsid w:val="008D3DB3"/>
    <w:rsid w:val="008D5526"/>
    <w:rsid w:val="008D74BB"/>
    <w:rsid w:val="008D7B80"/>
    <w:rsid w:val="008E065C"/>
    <w:rsid w:val="008E41D3"/>
    <w:rsid w:val="008E632C"/>
    <w:rsid w:val="008E7607"/>
    <w:rsid w:val="008F0612"/>
    <w:rsid w:val="008F193E"/>
    <w:rsid w:val="008F1EB8"/>
    <w:rsid w:val="008F2817"/>
    <w:rsid w:val="008F5A6D"/>
    <w:rsid w:val="00906E2A"/>
    <w:rsid w:val="00907969"/>
    <w:rsid w:val="009146C4"/>
    <w:rsid w:val="00915375"/>
    <w:rsid w:val="00916ACD"/>
    <w:rsid w:val="00920597"/>
    <w:rsid w:val="009211DC"/>
    <w:rsid w:val="009235C4"/>
    <w:rsid w:val="00923F2D"/>
    <w:rsid w:val="00924C8A"/>
    <w:rsid w:val="00930040"/>
    <w:rsid w:val="00930B68"/>
    <w:rsid w:val="0093264E"/>
    <w:rsid w:val="0093324D"/>
    <w:rsid w:val="00933B3C"/>
    <w:rsid w:val="00934CBB"/>
    <w:rsid w:val="00935EF9"/>
    <w:rsid w:val="009414BB"/>
    <w:rsid w:val="00946B64"/>
    <w:rsid w:val="00950BA6"/>
    <w:rsid w:val="00951F51"/>
    <w:rsid w:val="0095269C"/>
    <w:rsid w:val="00953D51"/>
    <w:rsid w:val="00953EED"/>
    <w:rsid w:val="00954B32"/>
    <w:rsid w:val="00956984"/>
    <w:rsid w:val="00962A9E"/>
    <w:rsid w:val="00963146"/>
    <w:rsid w:val="0096419D"/>
    <w:rsid w:val="0096610E"/>
    <w:rsid w:val="00967C15"/>
    <w:rsid w:val="009703AF"/>
    <w:rsid w:val="00971377"/>
    <w:rsid w:val="00971B40"/>
    <w:rsid w:val="009733FF"/>
    <w:rsid w:val="009741F3"/>
    <w:rsid w:val="00974C9C"/>
    <w:rsid w:val="00974E67"/>
    <w:rsid w:val="00975C56"/>
    <w:rsid w:val="0097736C"/>
    <w:rsid w:val="00980033"/>
    <w:rsid w:val="00983414"/>
    <w:rsid w:val="00987144"/>
    <w:rsid w:val="00990EFF"/>
    <w:rsid w:val="00992B3F"/>
    <w:rsid w:val="009931E2"/>
    <w:rsid w:val="0099356A"/>
    <w:rsid w:val="00994654"/>
    <w:rsid w:val="0099613A"/>
    <w:rsid w:val="009A08F1"/>
    <w:rsid w:val="009A3F93"/>
    <w:rsid w:val="009A3FAB"/>
    <w:rsid w:val="009A430A"/>
    <w:rsid w:val="009A57AE"/>
    <w:rsid w:val="009A7A1A"/>
    <w:rsid w:val="009A7A34"/>
    <w:rsid w:val="009B101F"/>
    <w:rsid w:val="009B1F1F"/>
    <w:rsid w:val="009B3043"/>
    <w:rsid w:val="009B38F1"/>
    <w:rsid w:val="009B45AD"/>
    <w:rsid w:val="009B4838"/>
    <w:rsid w:val="009B4B72"/>
    <w:rsid w:val="009B4BBB"/>
    <w:rsid w:val="009B6D2A"/>
    <w:rsid w:val="009C1731"/>
    <w:rsid w:val="009C2CA8"/>
    <w:rsid w:val="009C3930"/>
    <w:rsid w:val="009C464E"/>
    <w:rsid w:val="009D0171"/>
    <w:rsid w:val="009D2357"/>
    <w:rsid w:val="009D402B"/>
    <w:rsid w:val="009D4548"/>
    <w:rsid w:val="009D48E9"/>
    <w:rsid w:val="009D4D81"/>
    <w:rsid w:val="009E6C00"/>
    <w:rsid w:val="009F08D2"/>
    <w:rsid w:val="009F0A95"/>
    <w:rsid w:val="009F1912"/>
    <w:rsid w:val="009F38E4"/>
    <w:rsid w:val="009F5CEA"/>
    <w:rsid w:val="009F5FA2"/>
    <w:rsid w:val="00A0027D"/>
    <w:rsid w:val="00A016A7"/>
    <w:rsid w:val="00A01EE5"/>
    <w:rsid w:val="00A03552"/>
    <w:rsid w:val="00A046D9"/>
    <w:rsid w:val="00A063A8"/>
    <w:rsid w:val="00A06BD7"/>
    <w:rsid w:val="00A1236B"/>
    <w:rsid w:val="00A13B31"/>
    <w:rsid w:val="00A15315"/>
    <w:rsid w:val="00A1544B"/>
    <w:rsid w:val="00A171B3"/>
    <w:rsid w:val="00A2030A"/>
    <w:rsid w:val="00A2281A"/>
    <w:rsid w:val="00A25DB8"/>
    <w:rsid w:val="00A3119A"/>
    <w:rsid w:val="00A31BB2"/>
    <w:rsid w:val="00A32D69"/>
    <w:rsid w:val="00A3372B"/>
    <w:rsid w:val="00A350FD"/>
    <w:rsid w:val="00A4068A"/>
    <w:rsid w:val="00A5154F"/>
    <w:rsid w:val="00A53857"/>
    <w:rsid w:val="00A5421F"/>
    <w:rsid w:val="00A548D5"/>
    <w:rsid w:val="00A54F84"/>
    <w:rsid w:val="00A55984"/>
    <w:rsid w:val="00A56423"/>
    <w:rsid w:val="00A623A2"/>
    <w:rsid w:val="00A63D91"/>
    <w:rsid w:val="00A64275"/>
    <w:rsid w:val="00A6449C"/>
    <w:rsid w:val="00A657ED"/>
    <w:rsid w:val="00A65B4A"/>
    <w:rsid w:val="00A65EA9"/>
    <w:rsid w:val="00A66BD5"/>
    <w:rsid w:val="00A66D88"/>
    <w:rsid w:val="00A6776D"/>
    <w:rsid w:val="00A70B9F"/>
    <w:rsid w:val="00A71E3B"/>
    <w:rsid w:val="00A7348E"/>
    <w:rsid w:val="00A73AA5"/>
    <w:rsid w:val="00A75395"/>
    <w:rsid w:val="00A75517"/>
    <w:rsid w:val="00A76576"/>
    <w:rsid w:val="00A768B0"/>
    <w:rsid w:val="00A77450"/>
    <w:rsid w:val="00A77ED1"/>
    <w:rsid w:val="00A83D38"/>
    <w:rsid w:val="00A84FD6"/>
    <w:rsid w:val="00A872DB"/>
    <w:rsid w:val="00A87E1B"/>
    <w:rsid w:val="00A92997"/>
    <w:rsid w:val="00A949B4"/>
    <w:rsid w:val="00A949BA"/>
    <w:rsid w:val="00AA04CD"/>
    <w:rsid w:val="00AA080C"/>
    <w:rsid w:val="00AA43CA"/>
    <w:rsid w:val="00AA57CC"/>
    <w:rsid w:val="00AA6580"/>
    <w:rsid w:val="00AA7856"/>
    <w:rsid w:val="00AB00A0"/>
    <w:rsid w:val="00AB055E"/>
    <w:rsid w:val="00AB2F90"/>
    <w:rsid w:val="00AB5641"/>
    <w:rsid w:val="00AB627B"/>
    <w:rsid w:val="00AC1211"/>
    <w:rsid w:val="00AC18B4"/>
    <w:rsid w:val="00AC1EBE"/>
    <w:rsid w:val="00AC5D48"/>
    <w:rsid w:val="00AC6390"/>
    <w:rsid w:val="00AC7B4A"/>
    <w:rsid w:val="00AD0FBF"/>
    <w:rsid w:val="00AD25D4"/>
    <w:rsid w:val="00AD2A58"/>
    <w:rsid w:val="00AD417E"/>
    <w:rsid w:val="00AD42EB"/>
    <w:rsid w:val="00AE6C30"/>
    <w:rsid w:val="00AE7189"/>
    <w:rsid w:val="00AF076F"/>
    <w:rsid w:val="00AF109E"/>
    <w:rsid w:val="00AF1582"/>
    <w:rsid w:val="00AF2811"/>
    <w:rsid w:val="00AF49D4"/>
    <w:rsid w:val="00AF6D1D"/>
    <w:rsid w:val="00AF6FA1"/>
    <w:rsid w:val="00B00C79"/>
    <w:rsid w:val="00B01683"/>
    <w:rsid w:val="00B036CF"/>
    <w:rsid w:val="00B03F5C"/>
    <w:rsid w:val="00B05FF1"/>
    <w:rsid w:val="00B06479"/>
    <w:rsid w:val="00B07814"/>
    <w:rsid w:val="00B1163E"/>
    <w:rsid w:val="00B13E50"/>
    <w:rsid w:val="00B15038"/>
    <w:rsid w:val="00B15063"/>
    <w:rsid w:val="00B15AB8"/>
    <w:rsid w:val="00B15F65"/>
    <w:rsid w:val="00B17F5B"/>
    <w:rsid w:val="00B2165E"/>
    <w:rsid w:val="00B2593F"/>
    <w:rsid w:val="00B26A35"/>
    <w:rsid w:val="00B27509"/>
    <w:rsid w:val="00B27FF3"/>
    <w:rsid w:val="00B32289"/>
    <w:rsid w:val="00B33E94"/>
    <w:rsid w:val="00B36608"/>
    <w:rsid w:val="00B373E3"/>
    <w:rsid w:val="00B375AB"/>
    <w:rsid w:val="00B41765"/>
    <w:rsid w:val="00B41D81"/>
    <w:rsid w:val="00B459FD"/>
    <w:rsid w:val="00B54F52"/>
    <w:rsid w:val="00B55B39"/>
    <w:rsid w:val="00B565A8"/>
    <w:rsid w:val="00B56BD4"/>
    <w:rsid w:val="00B571ED"/>
    <w:rsid w:val="00B638A0"/>
    <w:rsid w:val="00B64476"/>
    <w:rsid w:val="00B72000"/>
    <w:rsid w:val="00B72CC9"/>
    <w:rsid w:val="00B73FDB"/>
    <w:rsid w:val="00B7513B"/>
    <w:rsid w:val="00B75415"/>
    <w:rsid w:val="00B75767"/>
    <w:rsid w:val="00B766AE"/>
    <w:rsid w:val="00B76EF8"/>
    <w:rsid w:val="00B77FBA"/>
    <w:rsid w:val="00B80A8F"/>
    <w:rsid w:val="00B84669"/>
    <w:rsid w:val="00B854FE"/>
    <w:rsid w:val="00B8699E"/>
    <w:rsid w:val="00B90F74"/>
    <w:rsid w:val="00B92898"/>
    <w:rsid w:val="00B92F48"/>
    <w:rsid w:val="00B95249"/>
    <w:rsid w:val="00B95739"/>
    <w:rsid w:val="00B95F17"/>
    <w:rsid w:val="00B95F24"/>
    <w:rsid w:val="00B9766D"/>
    <w:rsid w:val="00B97EBB"/>
    <w:rsid w:val="00BA1214"/>
    <w:rsid w:val="00BA2ED1"/>
    <w:rsid w:val="00BA4249"/>
    <w:rsid w:val="00BA4479"/>
    <w:rsid w:val="00BA560F"/>
    <w:rsid w:val="00BA5BF3"/>
    <w:rsid w:val="00BA6D3F"/>
    <w:rsid w:val="00BB34B3"/>
    <w:rsid w:val="00BB46D0"/>
    <w:rsid w:val="00BC1B20"/>
    <w:rsid w:val="00BC23E3"/>
    <w:rsid w:val="00BC27E6"/>
    <w:rsid w:val="00BC465E"/>
    <w:rsid w:val="00BC4B4A"/>
    <w:rsid w:val="00BC6761"/>
    <w:rsid w:val="00BC68A8"/>
    <w:rsid w:val="00BD2380"/>
    <w:rsid w:val="00BD2AEE"/>
    <w:rsid w:val="00BD2D7E"/>
    <w:rsid w:val="00BD70A5"/>
    <w:rsid w:val="00BD7D73"/>
    <w:rsid w:val="00BE0CC1"/>
    <w:rsid w:val="00BE0E6C"/>
    <w:rsid w:val="00BE41B2"/>
    <w:rsid w:val="00BE53C2"/>
    <w:rsid w:val="00BE5B6D"/>
    <w:rsid w:val="00BE6019"/>
    <w:rsid w:val="00BF6AD6"/>
    <w:rsid w:val="00BF6E50"/>
    <w:rsid w:val="00BF7153"/>
    <w:rsid w:val="00BF7B9B"/>
    <w:rsid w:val="00C0032D"/>
    <w:rsid w:val="00C070B5"/>
    <w:rsid w:val="00C116A8"/>
    <w:rsid w:val="00C11CBB"/>
    <w:rsid w:val="00C13DC2"/>
    <w:rsid w:val="00C15D23"/>
    <w:rsid w:val="00C1787C"/>
    <w:rsid w:val="00C21C7A"/>
    <w:rsid w:val="00C22B71"/>
    <w:rsid w:val="00C22F56"/>
    <w:rsid w:val="00C25671"/>
    <w:rsid w:val="00C27991"/>
    <w:rsid w:val="00C31033"/>
    <w:rsid w:val="00C321B8"/>
    <w:rsid w:val="00C334D2"/>
    <w:rsid w:val="00C33B9A"/>
    <w:rsid w:val="00C35C2A"/>
    <w:rsid w:val="00C363CB"/>
    <w:rsid w:val="00C36B99"/>
    <w:rsid w:val="00C4301B"/>
    <w:rsid w:val="00C47626"/>
    <w:rsid w:val="00C50285"/>
    <w:rsid w:val="00C51058"/>
    <w:rsid w:val="00C517EA"/>
    <w:rsid w:val="00C51C11"/>
    <w:rsid w:val="00C53E7C"/>
    <w:rsid w:val="00C54293"/>
    <w:rsid w:val="00C55928"/>
    <w:rsid w:val="00C56EE2"/>
    <w:rsid w:val="00C56F31"/>
    <w:rsid w:val="00C57BAC"/>
    <w:rsid w:val="00C60C16"/>
    <w:rsid w:val="00C6129A"/>
    <w:rsid w:val="00C6150E"/>
    <w:rsid w:val="00C61D4C"/>
    <w:rsid w:val="00C62FDA"/>
    <w:rsid w:val="00C635C8"/>
    <w:rsid w:val="00C67228"/>
    <w:rsid w:val="00C70EFA"/>
    <w:rsid w:val="00C76012"/>
    <w:rsid w:val="00C76D58"/>
    <w:rsid w:val="00C81732"/>
    <w:rsid w:val="00C844E1"/>
    <w:rsid w:val="00C85B30"/>
    <w:rsid w:val="00C85DCE"/>
    <w:rsid w:val="00C92FC5"/>
    <w:rsid w:val="00C93F0F"/>
    <w:rsid w:val="00C954B8"/>
    <w:rsid w:val="00C97F03"/>
    <w:rsid w:val="00CA177D"/>
    <w:rsid w:val="00CA22A9"/>
    <w:rsid w:val="00CA2DDB"/>
    <w:rsid w:val="00CA3C61"/>
    <w:rsid w:val="00CA55EF"/>
    <w:rsid w:val="00CA5FEA"/>
    <w:rsid w:val="00CB05E9"/>
    <w:rsid w:val="00CB5B44"/>
    <w:rsid w:val="00CC5512"/>
    <w:rsid w:val="00CC5B8F"/>
    <w:rsid w:val="00CC6C23"/>
    <w:rsid w:val="00CC7829"/>
    <w:rsid w:val="00CD37B3"/>
    <w:rsid w:val="00CD504B"/>
    <w:rsid w:val="00CD7A1A"/>
    <w:rsid w:val="00CE184E"/>
    <w:rsid w:val="00CE31E2"/>
    <w:rsid w:val="00CE579D"/>
    <w:rsid w:val="00CE7B1E"/>
    <w:rsid w:val="00CE7BB0"/>
    <w:rsid w:val="00CF0833"/>
    <w:rsid w:val="00CF1803"/>
    <w:rsid w:val="00CF1E53"/>
    <w:rsid w:val="00CF232B"/>
    <w:rsid w:val="00CF42FF"/>
    <w:rsid w:val="00CF4E56"/>
    <w:rsid w:val="00CF7CB9"/>
    <w:rsid w:val="00D008C3"/>
    <w:rsid w:val="00D01329"/>
    <w:rsid w:val="00D0243A"/>
    <w:rsid w:val="00D03E10"/>
    <w:rsid w:val="00D0410A"/>
    <w:rsid w:val="00D047EF"/>
    <w:rsid w:val="00D07FD7"/>
    <w:rsid w:val="00D10DE0"/>
    <w:rsid w:val="00D114EF"/>
    <w:rsid w:val="00D11545"/>
    <w:rsid w:val="00D121C3"/>
    <w:rsid w:val="00D14586"/>
    <w:rsid w:val="00D14748"/>
    <w:rsid w:val="00D1665B"/>
    <w:rsid w:val="00D1761F"/>
    <w:rsid w:val="00D225C5"/>
    <w:rsid w:val="00D22A7D"/>
    <w:rsid w:val="00D2417A"/>
    <w:rsid w:val="00D25913"/>
    <w:rsid w:val="00D26E4F"/>
    <w:rsid w:val="00D30AC2"/>
    <w:rsid w:val="00D31541"/>
    <w:rsid w:val="00D33226"/>
    <w:rsid w:val="00D33B17"/>
    <w:rsid w:val="00D348BB"/>
    <w:rsid w:val="00D36031"/>
    <w:rsid w:val="00D36D70"/>
    <w:rsid w:val="00D37252"/>
    <w:rsid w:val="00D37521"/>
    <w:rsid w:val="00D40B3F"/>
    <w:rsid w:val="00D41673"/>
    <w:rsid w:val="00D41E79"/>
    <w:rsid w:val="00D41F1B"/>
    <w:rsid w:val="00D43029"/>
    <w:rsid w:val="00D45508"/>
    <w:rsid w:val="00D5443E"/>
    <w:rsid w:val="00D55DBD"/>
    <w:rsid w:val="00D60137"/>
    <w:rsid w:val="00D606B1"/>
    <w:rsid w:val="00D61ABE"/>
    <w:rsid w:val="00D622ED"/>
    <w:rsid w:val="00D6329A"/>
    <w:rsid w:val="00D63522"/>
    <w:rsid w:val="00D645B6"/>
    <w:rsid w:val="00D67C9E"/>
    <w:rsid w:val="00D7027D"/>
    <w:rsid w:val="00D77C99"/>
    <w:rsid w:val="00D80F6C"/>
    <w:rsid w:val="00D81ACF"/>
    <w:rsid w:val="00D84DFD"/>
    <w:rsid w:val="00D91F61"/>
    <w:rsid w:val="00D92BC5"/>
    <w:rsid w:val="00D9479B"/>
    <w:rsid w:val="00D965FB"/>
    <w:rsid w:val="00DA1A04"/>
    <w:rsid w:val="00DA2596"/>
    <w:rsid w:val="00DA2CD9"/>
    <w:rsid w:val="00DA3B04"/>
    <w:rsid w:val="00DA6586"/>
    <w:rsid w:val="00DB0269"/>
    <w:rsid w:val="00DB10C5"/>
    <w:rsid w:val="00DB1D52"/>
    <w:rsid w:val="00DB2C58"/>
    <w:rsid w:val="00DB2D0F"/>
    <w:rsid w:val="00DB380C"/>
    <w:rsid w:val="00DB3F77"/>
    <w:rsid w:val="00DB59B4"/>
    <w:rsid w:val="00DB686D"/>
    <w:rsid w:val="00DB7BBD"/>
    <w:rsid w:val="00DC1344"/>
    <w:rsid w:val="00DC301F"/>
    <w:rsid w:val="00DC3A98"/>
    <w:rsid w:val="00DC5F83"/>
    <w:rsid w:val="00DC60E5"/>
    <w:rsid w:val="00DD042A"/>
    <w:rsid w:val="00DD18BF"/>
    <w:rsid w:val="00DD2393"/>
    <w:rsid w:val="00DD5EE8"/>
    <w:rsid w:val="00DE0ACC"/>
    <w:rsid w:val="00DE5BF7"/>
    <w:rsid w:val="00DF10B4"/>
    <w:rsid w:val="00DF1398"/>
    <w:rsid w:val="00DF198A"/>
    <w:rsid w:val="00DF1A0B"/>
    <w:rsid w:val="00DF1A4E"/>
    <w:rsid w:val="00DF2592"/>
    <w:rsid w:val="00DF3C3D"/>
    <w:rsid w:val="00DF3ED6"/>
    <w:rsid w:val="00DF4BBA"/>
    <w:rsid w:val="00DF53E7"/>
    <w:rsid w:val="00DF7193"/>
    <w:rsid w:val="00E01539"/>
    <w:rsid w:val="00E015C8"/>
    <w:rsid w:val="00E02678"/>
    <w:rsid w:val="00E032D2"/>
    <w:rsid w:val="00E03AFF"/>
    <w:rsid w:val="00E067D6"/>
    <w:rsid w:val="00E06B3B"/>
    <w:rsid w:val="00E1052B"/>
    <w:rsid w:val="00E118D6"/>
    <w:rsid w:val="00E14FEB"/>
    <w:rsid w:val="00E153B6"/>
    <w:rsid w:val="00E16C62"/>
    <w:rsid w:val="00E171D4"/>
    <w:rsid w:val="00E20734"/>
    <w:rsid w:val="00E234D7"/>
    <w:rsid w:val="00E2777A"/>
    <w:rsid w:val="00E31BC4"/>
    <w:rsid w:val="00E33F51"/>
    <w:rsid w:val="00E359E4"/>
    <w:rsid w:val="00E36322"/>
    <w:rsid w:val="00E401D1"/>
    <w:rsid w:val="00E41045"/>
    <w:rsid w:val="00E41CFE"/>
    <w:rsid w:val="00E42F27"/>
    <w:rsid w:val="00E4443B"/>
    <w:rsid w:val="00E444DA"/>
    <w:rsid w:val="00E505D9"/>
    <w:rsid w:val="00E50AC3"/>
    <w:rsid w:val="00E54B81"/>
    <w:rsid w:val="00E6181E"/>
    <w:rsid w:val="00E674A7"/>
    <w:rsid w:val="00E70B0F"/>
    <w:rsid w:val="00E717F4"/>
    <w:rsid w:val="00E7257F"/>
    <w:rsid w:val="00E729A3"/>
    <w:rsid w:val="00E73019"/>
    <w:rsid w:val="00E76272"/>
    <w:rsid w:val="00E80720"/>
    <w:rsid w:val="00E8158E"/>
    <w:rsid w:val="00E81ADC"/>
    <w:rsid w:val="00E82275"/>
    <w:rsid w:val="00E82A15"/>
    <w:rsid w:val="00E832B4"/>
    <w:rsid w:val="00E84361"/>
    <w:rsid w:val="00E85AF3"/>
    <w:rsid w:val="00E85DB7"/>
    <w:rsid w:val="00E9090A"/>
    <w:rsid w:val="00E91E3D"/>
    <w:rsid w:val="00E92A51"/>
    <w:rsid w:val="00E93452"/>
    <w:rsid w:val="00E93A8A"/>
    <w:rsid w:val="00E95ADE"/>
    <w:rsid w:val="00EB11A0"/>
    <w:rsid w:val="00EB1727"/>
    <w:rsid w:val="00EB1E42"/>
    <w:rsid w:val="00EB2DDA"/>
    <w:rsid w:val="00EB6876"/>
    <w:rsid w:val="00EC0083"/>
    <w:rsid w:val="00EC0564"/>
    <w:rsid w:val="00EC264F"/>
    <w:rsid w:val="00EC2B37"/>
    <w:rsid w:val="00EC3D99"/>
    <w:rsid w:val="00EC4434"/>
    <w:rsid w:val="00EC4778"/>
    <w:rsid w:val="00EC69CB"/>
    <w:rsid w:val="00EC78A1"/>
    <w:rsid w:val="00EC78AB"/>
    <w:rsid w:val="00ED08F2"/>
    <w:rsid w:val="00ED2007"/>
    <w:rsid w:val="00ED2E58"/>
    <w:rsid w:val="00ED3162"/>
    <w:rsid w:val="00ED390B"/>
    <w:rsid w:val="00ED3DEB"/>
    <w:rsid w:val="00ED6DFC"/>
    <w:rsid w:val="00ED7BAB"/>
    <w:rsid w:val="00EE2282"/>
    <w:rsid w:val="00EE2B9D"/>
    <w:rsid w:val="00EE2E6D"/>
    <w:rsid w:val="00EE3FB3"/>
    <w:rsid w:val="00EE421D"/>
    <w:rsid w:val="00EE6740"/>
    <w:rsid w:val="00EF09B2"/>
    <w:rsid w:val="00EF0AF1"/>
    <w:rsid w:val="00EF0B23"/>
    <w:rsid w:val="00EF3222"/>
    <w:rsid w:val="00EF373F"/>
    <w:rsid w:val="00F01315"/>
    <w:rsid w:val="00F02EAB"/>
    <w:rsid w:val="00F0351F"/>
    <w:rsid w:val="00F05A4B"/>
    <w:rsid w:val="00F0783D"/>
    <w:rsid w:val="00F0794F"/>
    <w:rsid w:val="00F10643"/>
    <w:rsid w:val="00F11587"/>
    <w:rsid w:val="00F12EAD"/>
    <w:rsid w:val="00F135EA"/>
    <w:rsid w:val="00F158F4"/>
    <w:rsid w:val="00F15ADC"/>
    <w:rsid w:val="00F162BE"/>
    <w:rsid w:val="00F168B6"/>
    <w:rsid w:val="00F16FB6"/>
    <w:rsid w:val="00F20C78"/>
    <w:rsid w:val="00F228DA"/>
    <w:rsid w:val="00F22B0F"/>
    <w:rsid w:val="00F23498"/>
    <w:rsid w:val="00F26751"/>
    <w:rsid w:val="00F27B5C"/>
    <w:rsid w:val="00F33B9C"/>
    <w:rsid w:val="00F35D39"/>
    <w:rsid w:val="00F360F9"/>
    <w:rsid w:val="00F36F64"/>
    <w:rsid w:val="00F37F87"/>
    <w:rsid w:val="00F40EF5"/>
    <w:rsid w:val="00F423AB"/>
    <w:rsid w:val="00F46FED"/>
    <w:rsid w:val="00F50397"/>
    <w:rsid w:val="00F518FF"/>
    <w:rsid w:val="00F51E09"/>
    <w:rsid w:val="00F52231"/>
    <w:rsid w:val="00F54436"/>
    <w:rsid w:val="00F54BBC"/>
    <w:rsid w:val="00F54D2F"/>
    <w:rsid w:val="00F54EFD"/>
    <w:rsid w:val="00F629C7"/>
    <w:rsid w:val="00F713A4"/>
    <w:rsid w:val="00F727FB"/>
    <w:rsid w:val="00F72922"/>
    <w:rsid w:val="00F75754"/>
    <w:rsid w:val="00F80095"/>
    <w:rsid w:val="00F81B41"/>
    <w:rsid w:val="00F84666"/>
    <w:rsid w:val="00F86403"/>
    <w:rsid w:val="00F87840"/>
    <w:rsid w:val="00F87AB4"/>
    <w:rsid w:val="00F90878"/>
    <w:rsid w:val="00F935EA"/>
    <w:rsid w:val="00F95C71"/>
    <w:rsid w:val="00F9615D"/>
    <w:rsid w:val="00FA0F12"/>
    <w:rsid w:val="00FA3DC0"/>
    <w:rsid w:val="00FA6597"/>
    <w:rsid w:val="00FB02CF"/>
    <w:rsid w:val="00FB6C6D"/>
    <w:rsid w:val="00FB6FD7"/>
    <w:rsid w:val="00FC0A4B"/>
    <w:rsid w:val="00FC27B5"/>
    <w:rsid w:val="00FC4EC8"/>
    <w:rsid w:val="00FC70D5"/>
    <w:rsid w:val="00FD0AA6"/>
    <w:rsid w:val="00FD129F"/>
    <w:rsid w:val="00FD35A0"/>
    <w:rsid w:val="00FD417A"/>
    <w:rsid w:val="00FD61A8"/>
    <w:rsid w:val="00FD7D86"/>
    <w:rsid w:val="00FE1A1B"/>
    <w:rsid w:val="00FE1B0E"/>
    <w:rsid w:val="00FE2DA2"/>
    <w:rsid w:val="00FE36AA"/>
    <w:rsid w:val="00FE4ED5"/>
    <w:rsid w:val="00FE608E"/>
    <w:rsid w:val="00FF0753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C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3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6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4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6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CC"/>
  </w:style>
  <w:style w:type="paragraph" w:styleId="Footer">
    <w:name w:val="footer"/>
    <w:basedOn w:val="Normal"/>
    <w:link w:val="FooterChar"/>
    <w:uiPriority w:val="99"/>
    <w:unhideWhenUsed/>
    <w:rsid w:val="00811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CC"/>
  </w:style>
  <w:style w:type="table" w:styleId="TableGrid">
    <w:name w:val="Table Grid"/>
    <w:basedOn w:val="TableNormal"/>
    <w:uiPriority w:val="59"/>
    <w:rsid w:val="0085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373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453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4537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145373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FollowedHyperlink">
    <w:name w:val="FollowedHyperlink"/>
    <w:uiPriority w:val="99"/>
    <w:semiHidden/>
    <w:unhideWhenUsed/>
    <w:rsid w:val="001903C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D43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7B1D43"/>
    <w:rPr>
      <w:lang w:eastAsia="en-US"/>
    </w:rPr>
  </w:style>
  <w:style w:type="character" w:styleId="FootnoteReference">
    <w:name w:val="footnote reference"/>
    <w:uiPriority w:val="99"/>
    <w:semiHidden/>
    <w:unhideWhenUsed/>
    <w:rsid w:val="007B1D43"/>
    <w:rPr>
      <w:vertAlign w:val="superscript"/>
    </w:rPr>
  </w:style>
  <w:style w:type="paragraph" w:customStyle="1" w:styleId="Default">
    <w:name w:val="Default"/>
    <w:rsid w:val="00B21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B2E14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9B1F1F"/>
  </w:style>
  <w:style w:type="paragraph" w:customStyle="1" w:styleId="sans-15px-black-70">
    <w:name w:val="sans-15px-black-70%"/>
    <w:basedOn w:val="Normal"/>
    <w:rsid w:val="00EE674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B75767"/>
    <w:pPr>
      <w:widowControl w:val="0"/>
      <w:autoSpaceDE w:val="0"/>
      <w:autoSpaceDN w:val="0"/>
      <w:adjustRightInd w:val="0"/>
      <w:ind w:left="119"/>
    </w:pPr>
    <w:rPr>
      <w:rFonts w:ascii="Calibri" w:eastAsia="Times New Roman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B75767"/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styleId="Strong">
    <w:name w:val="Strong"/>
    <w:basedOn w:val="DefaultParagraphFont"/>
    <w:uiPriority w:val="22"/>
    <w:qFormat/>
    <w:rsid w:val="008E632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26A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A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AA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A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AAC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3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6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4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6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CC"/>
  </w:style>
  <w:style w:type="paragraph" w:styleId="Footer">
    <w:name w:val="footer"/>
    <w:basedOn w:val="Normal"/>
    <w:link w:val="FooterChar"/>
    <w:uiPriority w:val="99"/>
    <w:unhideWhenUsed/>
    <w:rsid w:val="00811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CC"/>
  </w:style>
  <w:style w:type="table" w:styleId="TableGrid">
    <w:name w:val="Table Grid"/>
    <w:basedOn w:val="TableNormal"/>
    <w:uiPriority w:val="59"/>
    <w:rsid w:val="0085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373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453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4537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145373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FollowedHyperlink">
    <w:name w:val="FollowedHyperlink"/>
    <w:uiPriority w:val="99"/>
    <w:semiHidden/>
    <w:unhideWhenUsed/>
    <w:rsid w:val="001903C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D43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7B1D43"/>
    <w:rPr>
      <w:lang w:eastAsia="en-US"/>
    </w:rPr>
  </w:style>
  <w:style w:type="character" w:styleId="FootnoteReference">
    <w:name w:val="footnote reference"/>
    <w:uiPriority w:val="99"/>
    <w:semiHidden/>
    <w:unhideWhenUsed/>
    <w:rsid w:val="007B1D43"/>
    <w:rPr>
      <w:vertAlign w:val="superscript"/>
    </w:rPr>
  </w:style>
  <w:style w:type="paragraph" w:customStyle="1" w:styleId="Default">
    <w:name w:val="Default"/>
    <w:rsid w:val="00B21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B2E14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9B1F1F"/>
  </w:style>
  <w:style w:type="paragraph" w:customStyle="1" w:styleId="sans-15px-black-70">
    <w:name w:val="sans-15px-black-70%"/>
    <w:basedOn w:val="Normal"/>
    <w:rsid w:val="00EE674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B75767"/>
    <w:pPr>
      <w:widowControl w:val="0"/>
      <w:autoSpaceDE w:val="0"/>
      <w:autoSpaceDN w:val="0"/>
      <w:adjustRightInd w:val="0"/>
      <w:ind w:left="119"/>
    </w:pPr>
    <w:rPr>
      <w:rFonts w:ascii="Calibri" w:eastAsia="Times New Roman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B75767"/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styleId="Strong">
    <w:name w:val="Strong"/>
    <w:basedOn w:val="DefaultParagraphFont"/>
    <w:uiPriority w:val="22"/>
    <w:qFormat/>
    <w:rsid w:val="008E632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26A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A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AA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A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AA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elp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quiries@aelp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lf@aelp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kdawe@aelp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99BB-995E-4DB2-839A-AAC2F55B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21524</CharactersWithSpaces>
  <SharedDoc>false</SharedDoc>
  <HLinks>
    <vt:vector size="12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http://www.aelp.org.uk/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mailto:ssegal@aelp.org.uk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Ashworth</dc:creator>
  <cp:lastModifiedBy>Aidan</cp:lastModifiedBy>
  <cp:revision>9</cp:revision>
  <cp:lastPrinted>2017-09-18T10:52:00Z</cp:lastPrinted>
  <dcterms:created xsi:type="dcterms:W3CDTF">2017-09-18T10:51:00Z</dcterms:created>
  <dcterms:modified xsi:type="dcterms:W3CDTF">2017-09-20T11:39:00Z</dcterms:modified>
</cp:coreProperties>
</file>